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C392A">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安徽交控集团2025年度服务区综合改造提升工程项目空气能设备采购及安装项目</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 xml:space="preserve">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ascii="Times New Roman" w:hAnsi="Times New Roman" w:cs="Times New Roman"/>
          <w:color w:val="auto"/>
          <w:szCs w:val="21"/>
          <w:highlight w:val="none"/>
        </w:rPr>
      </w:pPr>
    </w:p>
    <w:p w14:paraId="0D3160AD">
      <w:pPr>
        <w:pStyle w:val="8"/>
        <w:rPr>
          <w:rFonts w:ascii="Times New Roman" w:hAnsi="Times New Roman" w:cs="Times New Roman"/>
          <w:color w:val="auto"/>
          <w:szCs w:val="21"/>
          <w:highlight w:val="none"/>
        </w:rPr>
      </w:pPr>
    </w:p>
    <w:p w14:paraId="6B3871F8">
      <w:pPr>
        <w:rPr>
          <w:color w:val="auto"/>
          <w:highlight w:val="none"/>
        </w:rPr>
      </w:pPr>
    </w:p>
    <w:p w14:paraId="28B17120">
      <w:pPr>
        <w:pStyle w:val="8"/>
        <w:rPr>
          <w:rFonts w:ascii="Times New Roman" w:hAnsi="Times New Roman" w:cs="Times New Roman"/>
          <w:color w:val="auto"/>
          <w:szCs w:val="21"/>
          <w:highlight w:val="none"/>
        </w:rPr>
      </w:pPr>
    </w:p>
    <w:p w14:paraId="3E23AC69">
      <w:pPr>
        <w:pStyle w:val="8"/>
        <w:rPr>
          <w:rFonts w:ascii="Times New Roman" w:hAnsi="Times New Roman" w:cs="Times New Roman"/>
          <w:color w:val="auto"/>
          <w:szCs w:val="21"/>
          <w:highlight w:val="none"/>
        </w:rPr>
      </w:pPr>
    </w:p>
    <w:p w14:paraId="33EC8FBC">
      <w:pPr>
        <w:pStyle w:val="9"/>
        <w:rPr>
          <w:rFonts w:ascii="Times New Roman" w:hAnsi="Times New Roman" w:cs="Times New Roman"/>
          <w:color w:val="auto"/>
          <w:szCs w:val="21"/>
          <w:highlight w:val="none"/>
        </w:rPr>
      </w:pPr>
    </w:p>
    <w:p w14:paraId="66600C50">
      <w:pPr>
        <w:jc w:val="center"/>
        <w:rPr>
          <w:rFonts w:hint="eastAsia" w:ascii="Times New Roman" w:hAnsi="Times New Roman" w:eastAsia="黑体" w:cs="Times New Roman"/>
          <w:color w:val="auto"/>
          <w:sz w:val="72"/>
          <w:szCs w:val="72"/>
          <w:highlight w:val="none"/>
          <w:lang w:eastAsia="zh-CN"/>
        </w:rPr>
      </w:pPr>
      <w:r>
        <w:rPr>
          <w:rFonts w:ascii="Times New Roman" w:hAnsi="Times New Roman" w:eastAsia="黑体" w:cs="Times New Roman"/>
          <w:color w:val="auto"/>
          <w:sz w:val="72"/>
          <w:szCs w:val="72"/>
          <w:highlight w:val="none"/>
        </w:rPr>
        <w:t>询  比  文  件</w:t>
      </w:r>
    </w:p>
    <w:p w14:paraId="29855586">
      <w:pPr>
        <w:spacing w:line="540" w:lineRule="exact"/>
        <w:ind w:firstLine="420"/>
        <w:rPr>
          <w:rFonts w:ascii="Times New Roman" w:hAnsi="Times New Roman" w:cs="Times New Roman"/>
          <w:color w:val="auto"/>
          <w:szCs w:val="21"/>
          <w:highlight w:val="none"/>
        </w:rPr>
      </w:pPr>
    </w:p>
    <w:p w14:paraId="49468AB4">
      <w:pPr>
        <w:spacing w:line="540" w:lineRule="exact"/>
        <w:ind w:firstLine="420"/>
        <w:rPr>
          <w:rFonts w:ascii="Times New Roman" w:hAnsi="Times New Roman" w:cs="Times New Roman"/>
          <w:color w:val="auto"/>
          <w:szCs w:val="21"/>
          <w:highlight w:val="none"/>
        </w:rPr>
      </w:pPr>
    </w:p>
    <w:p w14:paraId="349D569A">
      <w:pPr>
        <w:spacing w:line="540" w:lineRule="exact"/>
        <w:ind w:firstLine="420"/>
        <w:rPr>
          <w:rFonts w:ascii="Times New Roman" w:hAnsi="Times New Roman" w:cs="Times New Roman"/>
          <w:color w:val="auto"/>
          <w:szCs w:val="21"/>
          <w:highlight w:val="none"/>
        </w:rPr>
      </w:pPr>
    </w:p>
    <w:p w14:paraId="3A05B35C">
      <w:pPr>
        <w:spacing w:line="540" w:lineRule="exact"/>
        <w:ind w:firstLine="420"/>
        <w:rPr>
          <w:rFonts w:ascii="Times New Roman" w:hAnsi="Times New Roman" w:cs="Times New Roman"/>
          <w:color w:val="auto"/>
          <w:szCs w:val="21"/>
          <w:highlight w:val="none"/>
        </w:rPr>
      </w:pPr>
    </w:p>
    <w:p w14:paraId="46AEBA11">
      <w:pPr>
        <w:spacing w:line="540" w:lineRule="exact"/>
        <w:ind w:firstLine="420"/>
        <w:rPr>
          <w:rFonts w:ascii="Times New Roman" w:hAnsi="Times New Roman" w:cs="Times New Roman"/>
          <w:color w:val="auto"/>
          <w:szCs w:val="21"/>
          <w:highlight w:val="none"/>
        </w:rPr>
      </w:pPr>
    </w:p>
    <w:p w14:paraId="35849173">
      <w:pPr>
        <w:spacing w:line="540" w:lineRule="exact"/>
        <w:ind w:firstLine="420"/>
        <w:rPr>
          <w:rFonts w:ascii="Times New Roman" w:hAnsi="Times New Roman" w:cs="Times New Roman"/>
          <w:color w:val="auto"/>
          <w:szCs w:val="21"/>
          <w:highlight w:val="none"/>
        </w:rPr>
      </w:pPr>
    </w:p>
    <w:p w14:paraId="424D0981">
      <w:pPr>
        <w:spacing w:line="540" w:lineRule="exact"/>
        <w:ind w:firstLine="420"/>
        <w:rPr>
          <w:rFonts w:ascii="Times New Roman" w:hAnsi="Times New Roman" w:cs="Times New Roman"/>
          <w:color w:val="auto"/>
          <w:szCs w:val="21"/>
          <w:highlight w:val="none"/>
        </w:rPr>
      </w:pPr>
    </w:p>
    <w:p w14:paraId="07A1887D">
      <w:pPr>
        <w:spacing w:line="540" w:lineRule="exact"/>
        <w:ind w:firstLine="420"/>
        <w:rPr>
          <w:rFonts w:ascii="Times New Roman" w:hAnsi="Times New Roman" w:cs="Times New Roman"/>
          <w:color w:val="auto"/>
          <w:szCs w:val="21"/>
          <w:highlight w:val="none"/>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highlight w:val="none"/>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highlight w:val="none"/>
          <w:u w:val="single"/>
          <w:lang w:eastAsia="zh-CN"/>
        </w:rPr>
      </w:pPr>
      <w:r>
        <w:rPr>
          <w:rFonts w:hint="eastAsia" w:ascii="黑体" w:hAnsi="黑体" w:eastAsia="黑体" w:cs="黑体"/>
          <w:color w:val="auto"/>
          <w:sz w:val="32"/>
          <w:szCs w:val="32"/>
          <w:highlight w:val="none"/>
        </w:rPr>
        <w:t>采</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购</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u w:val="single"/>
          <w:lang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日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 xml:space="preserve"> 2025 </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8 </w:t>
      </w:r>
      <w:r>
        <w:rPr>
          <w:rFonts w:hint="eastAsia" w:ascii="黑体" w:hAnsi="黑体" w:eastAsia="黑体" w:cs="黑体"/>
          <w:color w:val="auto"/>
          <w:sz w:val="32"/>
          <w:szCs w:val="32"/>
          <w:highlight w:val="none"/>
        </w:rPr>
        <w:t>月</w:t>
      </w:r>
    </w:p>
    <w:p w14:paraId="76D6F35A">
      <w:pPr>
        <w:pStyle w:val="8"/>
        <w:rPr>
          <w:rFonts w:hint="eastAsia" w:ascii="黑体" w:hAnsi="黑体" w:eastAsia="黑体" w:cs="黑体"/>
          <w:color w:val="FF0000"/>
          <w:sz w:val="32"/>
          <w:szCs w:val="32"/>
          <w:highlight w:val="none"/>
        </w:rPr>
      </w:pPr>
    </w:p>
    <w:p w14:paraId="02CB63D9">
      <w:pPr>
        <w:pStyle w:val="9"/>
        <w:rPr>
          <w:rFonts w:hint="eastAsia"/>
        </w:rPr>
      </w:pPr>
    </w:p>
    <w:sdt>
      <w:sdtPr>
        <w:rPr>
          <w:rFonts w:ascii="宋体" w:hAnsi="宋体" w:eastAsia="宋体" w:cstheme="minorBidi"/>
          <w:color w:val="auto"/>
          <w:kern w:val="2"/>
          <w:sz w:val="32"/>
          <w:szCs w:val="40"/>
          <w:highlight w:val="none"/>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highlight w:val="none"/>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highlight w:val="none"/>
            </w:rPr>
          </w:pPr>
          <w:r>
            <w:rPr>
              <w:rFonts w:ascii="宋体" w:hAnsi="宋体" w:eastAsia="宋体"/>
              <w:b/>
              <w:bCs/>
              <w:color w:val="auto"/>
              <w:sz w:val="32"/>
              <w:szCs w:val="40"/>
              <w:highlight w:val="none"/>
            </w:rPr>
            <w:t>目</w:t>
          </w:r>
          <w:r>
            <w:rPr>
              <w:rFonts w:hint="eastAsia" w:ascii="宋体" w:hAnsi="宋体" w:eastAsia="宋体"/>
              <w:b/>
              <w:bCs/>
              <w:color w:val="auto"/>
              <w:sz w:val="32"/>
              <w:szCs w:val="40"/>
              <w:highlight w:val="none"/>
              <w:lang w:val="en-US" w:eastAsia="zh-CN"/>
            </w:rPr>
            <w:t xml:space="preserve"> </w:t>
          </w:r>
          <w:r>
            <w:rPr>
              <w:rFonts w:ascii="宋体" w:hAnsi="宋体" w:eastAsia="宋体"/>
              <w:b/>
              <w:bCs/>
              <w:color w:val="auto"/>
              <w:sz w:val="32"/>
              <w:szCs w:val="40"/>
              <w:highlight w:val="none"/>
            </w:rPr>
            <w:t>录</w:t>
          </w:r>
        </w:p>
        <w:p w14:paraId="4FB58C90">
          <w:pPr>
            <w:pStyle w:val="15"/>
            <w:tabs>
              <w:tab w:val="right" w:leader="dot" w:pos="8312"/>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_Toc25735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highlight w:val="none"/>
            </w:rPr>
            <w:t>采购公告</w:t>
          </w:r>
          <w:r>
            <w:tab/>
          </w:r>
          <w:r>
            <w:fldChar w:fldCharType="begin"/>
          </w:r>
          <w:r>
            <w:instrText xml:space="preserve"> PAGEREF _Toc25735 \h </w:instrText>
          </w:r>
          <w:r>
            <w:fldChar w:fldCharType="separate"/>
          </w:r>
          <w:r>
            <w:t>3</w:t>
          </w:r>
          <w:r>
            <w:fldChar w:fldCharType="end"/>
          </w:r>
          <w:r>
            <w:rPr>
              <w:rFonts w:hint="eastAsia" w:ascii="宋体" w:hAnsi="宋体" w:eastAsia="宋体" w:cs="宋体"/>
              <w:color w:val="auto"/>
              <w:szCs w:val="24"/>
              <w:highlight w:val="none"/>
            </w:rPr>
            <w:fldChar w:fldCharType="end"/>
          </w:r>
        </w:p>
        <w:p w14:paraId="661981FE">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_Toc25875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highlight w:val="none"/>
            </w:rPr>
            <w:t>供应商须知</w:t>
          </w:r>
          <w:r>
            <w:tab/>
          </w:r>
          <w:r>
            <w:fldChar w:fldCharType="begin"/>
          </w:r>
          <w:r>
            <w:instrText xml:space="preserve"> PAGEREF _Toc25875 \h </w:instrText>
          </w:r>
          <w:r>
            <w:fldChar w:fldCharType="separate"/>
          </w:r>
          <w:r>
            <w:t>6</w:t>
          </w:r>
          <w:r>
            <w:fldChar w:fldCharType="end"/>
          </w:r>
          <w:r>
            <w:rPr>
              <w:rFonts w:hint="eastAsia" w:ascii="宋体" w:hAnsi="宋体" w:eastAsia="宋体" w:cs="宋体"/>
              <w:color w:val="auto"/>
              <w:szCs w:val="24"/>
              <w:highlight w:val="none"/>
            </w:rPr>
            <w:fldChar w:fldCharType="end"/>
          </w:r>
        </w:p>
        <w:p w14:paraId="23B57A4B">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_Toc27736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highlight w:val="none"/>
            </w:rPr>
            <w:t>评审办法</w:t>
          </w:r>
          <w:r>
            <w:tab/>
          </w:r>
          <w:r>
            <w:fldChar w:fldCharType="begin"/>
          </w:r>
          <w:r>
            <w:instrText xml:space="preserve"> PAGEREF _Toc27736 \h </w:instrText>
          </w:r>
          <w:r>
            <w:fldChar w:fldCharType="separate"/>
          </w:r>
          <w:r>
            <w:t>17</w:t>
          </w:r>
          <w:r>
            <w:fldChar w:fldCharType="end"/>
          </w:r>
          <w:r>
            <w:rPr>
              <w:rFonts w:hint="eastAsia" w:ascii="宋体" w:hAnsi="宋体" w:eastAsia="宋体" w:cs="宋体"/>
              <w:color w:val="auto"/>
              <w:szCs w:val="24"/>
              <w:highlight w:val="none"/>
            </w:rPr>
            <w:fldChar w:fldCharType="end"/>
          </w:r>
        </w:p>
        <w:p w14:paraId="4F226DD3">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_Toc21503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r>
            <w:tab/>
          </w:r>
          <w:r>
            <w:fldChar w:fldCharType="begin"/>
          </w:r>
          <w:r>
            <w:instrText xml:space="preserve"> PAGEREF _Toc21503 \h </w:instrText>
          </w:r>
          <w:r>
            <w:fldChar w:fldCharType="separate"/>
          </w:r>
          <w:r>
            <w:t>25</w:t>
          </w:r>
          <w:r>
            <w:fldChar w:fldCharType="end"/>
          </w:r>
          <w:r>
            <w:rPr>
              <w:rFonts w:hint="eastAsia" w:ascii="宋体" w:hAnsi="宋体" w:eastAsia="宋体" w:cs="宋体"/>
              <w:color w:val="auto"/>
              <w:szCs w:val="24"/>
              <w:highlight w:val="none"/>
            </w:rPr>
            <w:fldChar w:fldCharType="end"/>
          </w:r>
        </w:p>
        <w:p w14:paraId="3864C526">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_Toc7189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第五章 采购需求及清单</w:t>
          </w:r>
          <w:r>
            <w:tab/>
          </w:r>
          <w:r>
            <w:fldChar w:fldCharType="begin"/>
          </w:r>
          <w:r>
            <w:instrText xml:space="preserve"> PAGEREF _Toc7189 \h </w:instrText>
          </w:r>
          <w:r>
            <w:fldChar w:fldCharType="separate"/>
          </w:r>
          <w:r>
            <w:t>43</w:t>
          </w:r>
          <w:r>
            <w:fldChar w:fldCharType="end"/>
          </w:r>
          <w:r>
            <w:rPr>
              <w:rFonts w:hint="eastAsia" w:ascii="宋体" w:hAnsi="宋体" w:eastAsia="宋体" w:cs="宋体"/>
              <w:color w:val="auto"/>
              <w:szCs w:val="24"/>
              <w:highlight w:val="none"/>
            </w:rPr>
            <w:fldChar w:fldCharType="end"/>
          </w:r>
        </w:p>
        <w:p w14:paraId="144D8D97">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_Toc8292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第六章 </w:t>
          </w:r>
          <w:r>
            <w:rPr>
              <w:rFonts w:hint="eastAsia" w:ascii="Times New Roman" w:hAnsi="Times New Roman" w:eastAsia="宋体" w:cs="Times New Roman"/>
              <w:highlight w:val="none"/>
            </w:rPr>
            <w:t>响应文件格式</w:t>
          </w:r>
          <w:r>
            <w:tab/>
          </w:r>
          <w:r>
            <w:fldChar w:fldCharType="begin"/>
          </w:r>
          <w:r>
            <w:instrText xml:space="preserve"> PAGEREF _Toc8292 \h </w:instrText>
          </w:r>
          <w:r>
            <w:fldChar w:fldCharType="separate"/>
          </w:r>
          <w:r>
            <w:t>44</w:t>
          </w:r>
          <w:r>
            <w:fldChar w:fldCharType="end"/>
          </w:r>
          <w:r>
            <w:rPr>
              <w:rFonts w:hint="eastAsia" w:ascii="宋体" w:hAnsi="宋体" w:eastAsia="宋体" w:cs="宋体"/>
              <w:color w:val="auto"/>
              <w:szCs w:val="24"/>
              <w:highlight w:val="none"/>
            </w:rPr>
            <w:fldChar w:fldCharType="end"/>
          </w:r>
        </w:p>
        <w:p w14:paraId="5DD36028">
          <w:pPr>
            <w:pStyle w:val="15"/>
            <w:tabs>
              <w:tab w:val="right" w:leader="dot" w:pos="8312"/>
            </w:tabs>
          </w:pP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highlight w:val="none"/>
            </w:rPr>
          </w:pPr>
          <w:r>
            <w:rPr>
              <w:rFonts w:hint="eastAsia" w:ascii="宋体" w:hAnsi="宋体" w:eastAsia="宋体" w:cs="宋体"/>
              <w:color w:val="auto"/>
              <w:szCs w:val="24"/>
              <w:highlight w:val="none"/>
            </w:rPr>
            <w:fldChar w:fldCharType="end"/>
          </w:r>
        </w:p>
      </w:sdtContent>
    </w:sdt>
    <w:p w14:paraId="3BF787A3">
      <w:pPr>
        <w:jc w:val="center"/>
        <w:rPr>
          <w:rFonts w:ascii="宋体" w:hAnsi="宋体" w:eastAsia="宋体"/>
          <w:color w:val="auto"/>
          <w:highlight w:val="none"/>
        </w:rPr>
      </w:pPr>
    </w:p>
    <w:p w14:paraId="46EE0C31">
      <w:pPr>
        <w:jc w:val="center"/>
        <w:rPr>
          <w:rFonts w:ascii="宋体" w:hAnsi="宋体" w:eastAsia="宋体"/>
          <w:color w:val="auto"/>
          <w:highlight w:val="none"/>
        </w:rPr>
      </w:pPr>
    </w:p>
    <w:p w14:paraId="30FB8451">
      <w:pPr>
        <w:pStyle w:val="3"/>
        <w:spacing w:before="312" w:after="312"/>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3"/>
        <w:spacing w:before="312" w:after="312"/>
        <w:rPr>
          <w:rFonts w:ascii="Times New Roman" w:hAnsi="Times New Roman" w:eastAsia="宋体" w:cs="Times New Roman"/>
          <w:color w:val="auto"/>
          <w:highlight w:val="none"/>
        </w:rPr>
      </w:pPr>
      <w:bookmarkStart w:id="0" w:name="_Toc25735"/>
      <w:r>
        <w:rPr>
          <w:rFonts w:ascii="Times New Roman" w:hAnsi="Times New Roman" w:eastAsia="宋体" w:cs="Times New Roman"/>
          <w:color w:val="auto"/>
          <w:highlight w:val="none"/>
        </w:rPr>
        <w:t>采购公告</w:t>
      </w:r>
      <w:bookmarkEnd w:id="0"/>
    </w:p>
    <w:p w14:paraId="461FF827">
      <w:pPr>
        <w:pStyle w:val="4"/>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 w:name="_Toc10395_WPSOffice_Level2"/>
      <w:bookmarkStart w:id="2" w:name="_Toc6496_WPSOffice_Level2"/>
      <w:bookmarkStart w:id="3" w:name="_Toc13871"/>
      <w:bookmarkStart w:id="4" w:name="_Toc12765"/>
      <w:bookmarkStart w:id="5" w:name="_Toc4489_WPSOffice_Level2"/>
      <w:bookmarkStart w:id="6" w:name="_Toc24354_WPSOffice_Level2"/>
      <w:bookmarkStart w:id="7" w:name="_Toc525632585"/>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037686F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 xml:space="preserve">安徽交控集团2025年度服务区综合改造提升工程项目空气能设备采购及安装项目 </w:t>
      </w:r>
      <w:r>
        <w:rPr>
          <w:rFonts w:hint="eastAsia" w:ascii="Times New Roman" w:hAnsi="Times New Roman" w:eastAsia="宋体" w:cs="Times New Roman"/>
          <w:color w:val="auto"/>
          <w:sz w:val="21"/>
          <w:szCs w:val="21"/>
          <w:highlight w:val="none"/>
          <w:u w:val="none"/>
          <w:lang w:val="en-US" w:eastAsia="zh-CN"/>
        </w:rPr>
        <w:t>。</w:t>
      </w:r>
    </w:p>
    <w:p w14:paraId="438910D3">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w:t>
      </w:r>
      <w:r>
        <w:rPr>
          <w:rFonts w:hint="eastAsia" w:ascii="Times New Roman" w:hAnsi="Times New Roman" w:eastAsia="宋体" w:cs="Times New Roman"/>
          <w:color w:val="auto"/>
          <w:sz w:val="21"/>
          <w:szCs w:val="21"/>
          <w:highlight w:val="none"/>
          <w:u w:val="single"/>
          <w:lang w:eastAsia="zh-CN"/>
        </w:rPr>
        <w:t>安徽省经工物资有限公司</w:t>
      </w:r>
      <w:r>
        <w:rPr>
          <w:rFonts w:hint="default" w:ascii="Times New Roman" w:hAnsi="Times New Roman" w:eastAsia="宋体" w:cs="Times New Roman"/>
          <w:color w:val="auto"/>
          <w:sz w:val="21"/>
          <w:szCs w:val="21"/>
          <w:highlight w:val="none"/>
          <w:u w:val="single"/>
        </w:rPr>
        <w:t>。</w:t>
      </w:r>
    </w:p>
    <w:p w14:paraId="39A6A00A">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 项目概况：</w:t>
      </w:r>
      <w:r>
        <w:rPr>
          <w:rFonts w:hint="eastAsia" w:ascii="宋体" w:hAnsi="宋体" w:eastAsia="宋体" w:cs="宋体"/>
          <w:color w:val="auto"/>
          <w:szCs w:val="21"/>
          <w:u w:val="single"/>
          <w:lang w:eastAsia="zh-CN"/>
        </w:rPr>
        <w:t>驿达公司所辖服务区服务场所新建、建筑立面提升、室内装修改造、供电系统改造、屋面防水及给排水系统改造等</w:t>
      </w:r>
      <w:r>
        <w:rPr>
          <w:rFonts w:hint="eastAsia" w:ascii="宋体" w:hAnsi="宋体" w:eastAsia="宋体" w:cs="宋体"/>
          <w:color w:val="auto"/>
          <w:szCs w:val="21"/>
          <w:u w:val="single"/>
          <w:lang w:val="en-US" w:eastAsia="zh-CN"/>
        </w:rPr>
        <w:t xml:space="preserve">。 </w:t>
      </w:r>
    </w:p>
    <w:p w14:paraId="6C554D3B">
      <w:pPr>
        <w:pStyle w:val="4"/>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8" w:name="_Toc23266_WPSOffice_Level2"/>
      <w:bookmarkStart w:id="9" w:name="_Toc17858_WPSOffice_Level2"/>
      <w:bookmarkStart w:id="10" w:name="_Toc525632586"/>
      <w:bookmarkStart w:id="11" w:name="_Toc18367_WPSOffice_Level2"/>
      <w:bookmarkStart w:id="12" w:name="_Toc10274"/>
      <w:bookmarkStart w:id="13" w:name="_Toc18453"/>
      <w:bookmarkStart w:id="14" w:name="_Toc8128_WPSOffice_Level2"/>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r>
        <w:rPr>
          <w:rFonts w:hint="eastAsia" w:ascii="Times New Roman" w:hAnsi="Times New Roman" w:eastAsia="黑体" w:cs="Times New Roman"/>
          <w:b w:val="0"/>
          <w:bCs/>
          <w:color w:val="auto"/>
          <w:sz w:val="22"/>
          <w:szCs w:val="15"/>
          <w:highlight w:val="none"/>
          <w:lang w:val="en-US" w:eastAsia="zh-CN"/>
        </w:rPr>
        <w:t>.</w:t>
      </w:r>
    </w:p>
    <w:p w14:paraId="2C3A3055">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F723895">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1929D109">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5B46E61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宋体" w:hAnsi="宋体" w:eastAsia="宋体" w:cs="宋体"/>
          <w:color w:val="auto"/>
          <w:szCs w:val="21"/>
          <w:highlight w:val="none"/>
          <w:u w:val="single"/>
          <w:lang w:val="en-US" w:eastAsia="zh-CN"/>
        </w:rPr>
        <w:t xml:space="preserve">产品品牌及参数详见材料品牌推荐表及采购清单。 </w:t>
      </w:r>
    </w:p>
    <w:p w14:paraId="5C9843C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default" w:ascii="Times New Roman" w:hAnsi="Times New Roman" w:eastAsia="宋体" w:cs="Times New Roman"/>
          <w:color w:val="auto"/>
          <w:szCs w:val="21"/>
          <w:highlight w:val="none"/>
          <w:u w:val="none"/>
          <w:lang w:val="en-US" w:eastAsia="zh-CN"/>
        </w:rPr>
        <w:t>。</w:t>
      </w:r>
    </w:p>
    <w:bookmarkEnd w:id="17"/>
    <w:p w14:paraId="350BE08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r>
        <w:rPr>
          <w:rFonts w:hint="eastAsia" w:ascii="Times New Roman" w:hAnsi="Times New Roman" w:cs="Times New Roman"/>
          <w:color w:val="auto"/>
          <w:szCs w:val="22"/>
          <w:highlight w:val="none"/>
          <w:u w:val="single"/>
          <w:lang w:val="en-US" w:eastAsia="zh-CN"/>
        </w:rPr>
        <w:t>人民币66万元</w:t>
      </w:r>
      <w:r>
        <w:rPr>
          <w:rFonts w:hint="eastAsia" w:ascii="宋体" w:hAnsi="宋体" w:eastAsia="宋体" w:cs="宋体"/>
          <w:b w:val="0"/>
          <w:bCs w:val="0"/>
          <w:color w:val="auto"/>
          <w:szCs w:val="21"/>
          <w:highlight w:val="none"/>
          <w:u w:val="single"/>
          <w:lang w:val="en-US" w:eastAsia="zh-CN"/>
        </w:rPr>
        <w:t>。</w:t>
      </w:r>
    </w:p>
    <w:p w14:paraId="0B9D839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u w:val="single"/>
          <w:lang w:val="en-US" w:eastAsia="zh-CN"/>
        </w:rPr>
        <w:t>在接到甲方通知之日起</w:t>
      </w:r>
      <w:r>
        <w:rPr>
          <w:rFonts w:hint="eastAsia" w:ascii="Times New Roman" w:hAnsi="Times New Roman" w:eastAsia="宋体" w:cs="Times New Roman"/>
          <w:color w:val="auto"/>
          <w:szCs w:val="21"/>
          <w:highlight w:val="none"/>
          <w:u w:val="single"/>
          <w:lang w:val="en-US" w:eastAsia="zh-CN"/>
        </w:rPr>
        <w:t>10</w:t>
      </w:r>
      <w:r>
        <w:rPr>
          <w:rFonts w:hint="default" w:ascii="Times New Roman" w:hAnsi="Times New Roman" w:eastAsia="宋体" w:cs="Times New Roman"/>
          <w:color w:val="auto"/>
          <w:szCs w:val="21"/>
          <w:highlight w:val="none"/>
          <w:u w:val="single"/>
          <w:lang w:val="en-US" w:eastAsia="zh-CN"/>
        </w:rPr>
        <w:t>天内交货并安装完成（具体根据实际情况安排进度）</w:t>
      </w:r>
      <w:r>
        <w:rPr>
          <w:rFonts w:hint="eastAsia" w:ascii="宋体" w:hAnsi="宋体" w:eastAsia="宋体" w:cs="宋体"/>
          <w:color w:val="auto"/>
          <w:szCs w:val="21"/>
          <w:highlight w:val="none"/>
          <w:u w:val="single"/>
          <w:lang w:val="en-US" w:eastAsia="zh-CN"/>
        </w:rPr>
        <w:t xml:space="preserve">。 </w:t>
      </w:r>
    </w:p>
    <w:p w14:paraId="0EB690E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b w:val="0"/>
          <w:bCs w:val="0"/>
          <w:color w:val="auto"/>
          <w:szCs w:val="21"/>
          <w:highlight w:val="none"/>
          <w:u w:val="single"/>
          <w:lang w:val="en-US" w:eastAsia="zh-CN"/>
        </w:rPr>
        <w:t>西桥、长岭关、焦岗湖、陈埠服务区，</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lang w:val="en-US" w:eastAsia="zh-CN"/>
        </w:rPr>
        <w:t xml:space="preserve">      </w:t>
      </w:r>
    </w:p>
    <w:p w14:paraId="22830808">
      <w:pPr>
        <w:pStyle w:val="4"/>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供应商资格条件</w:t>
      </w:r>
    </w:p>
    <w:p w14:paraId="71F8C970">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3.1 本次采购要求供应商须同时具备：</w:t>
      </w:r>
    </w:p>
    <w:p w14:paraId="7ED83F0D">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Times New Roman" w:hAnsi="Times New Roman"/>
          <w:color w:val="auto"/>
          <w:sz w:val="21"/>
          <w:szCs w:val="22"/>
          <w:highlight w:val="none"/>
        </w:rPr>
        <w:t>（1）</w:t>
      </w:r>
      <w:r>
        <w:rPr>
          <w:rFonts w:hint="eastAsia" w:ascii="宋体" w:hAnsi="宋体" w:cs="宋体"/>
          <w:color w:val="auto"/>
          <w:sz w:val="21"/>
          <w:szCs w:val="22"/>
          <w:highlight w:val="none"/>
        </w:rPr>
        <w:t>资质最低要求：</w:t>
      </w:r>
    </w:p>
    <w:p w14:paraId="6F1DA9E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 xml:space="preserve">①具备独立法人资格，持有有效的营业执照。  </w:t>
      </w:r>
    </w:p>
    <w:p w14:paraId="4A3E231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②制造商/厂家参与询比的，应具备有生产、销售采购人所需材料的能力</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2</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业绩最低要求：</w:t>
      </w:r>
    </w:p>
    <w:p w14:paraId="4CFF6869">
      <w:pPr>
        <w:pStyle w:val="8"/>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至少提供1个自202</w:t>
      </w:r>
      <w:r>
        <w:rPr>
          <w:rFonts w:hint="eastAsia" w:ascii="Times New Roman" w:hAnsi="Times New Roman" w:cs="Times New Roman"/>
          <w:b w:val="0"/>
          <w:bCs w:val="0"/>
          <w:color w:val="auto"/>
          <w:highlight w:val="none"/>
          <w:u w:val="single"/>
          <w:lang w:val="en-US" w:eastAsia="zh-CN"/>
        </w:rPr>
        <w:t>2</w:t>
      </w:r>
      <w:r>
        <w:rPr>
          <w:rFonts w:hint="default" w:ascii="Times New Roman" w:hAnsi="Times New Roman" w:cs="Times New Roman" w:eastAsiaTheme="minorEastAsia"/>
          <w:b w:val="0"/>
          <w:bCs w:val="0"/>
          <w:color w:val="auto"/>
          <w:highlight w:val="none"/>
          <w:u w:val="single"/>
          <w:lang w:val="en-US" w:eastAsia="zh-CN"/>
        </w:rPr>
        <w:t>年1月1日以来，单项合同额不低于</w:t>
      </w:r>
      <w:r>
        <w:rPr>
          <w:rFonts w:hint="eastAsia" w:ascii="Times New Roman" w:hAnsi="Times New Roman" w:cs="Times New Roman"/>
          <w:b w:val="0"/>
          <w:bCs w:val="0"/>
          <w:color w:val="auto"/>
          <w:highlight w:val="none"/>
          <w:u w:val="single"/>
          <w:lang w:val="en-US" w:eastAsia="zh-CN"/>
        </w:rPr>
        <w:t>30</w:t>
      </w:r>
      <w:r>
        <w:rPr>
          <w:rFonts w:hint="default" w:ascii="Times New Roman" w:hAnsi="Times New Roman" w:cs="Times New Roman" w:eastAsiaTheme="minorEastAsia"/>
          <w:b w:val="0"/>
          <w:bCs w:val="0"/>
          <w:color w:val="auto"/>
          <w:highlight w:val="none"/>
          <w:u w:val="single"/>
          <w:lang w:val="en-US" w:eastAsia="zh-CN"/>
        </w:rPr>
        <w:t>万元的</w:t>
      </w:r>
      <w:r>
        <w:rPr>
          <w:rFonts w:hint="eastAsia"/>
          <w:u w:val="single"/>
          <w:lang w:val="en-US" w:eastAsia="zh-CN"/>
        </w:rPr>
        <w:t>空气能或太阳能</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w:t>
      </w:r>
      <w:r>
        <w:rPr>
          <w:rFonts w:hint="default" w:ascii="Times New Roman" w:hAnsi="Times New Roman" w:cs="Times New Roman" w:eastAsiaTheme="minorEastAsia"/>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r>
        <w:rPr>
          <w:rFonts w:hint="eastAsia" w:ascii="Times New Roman" w:hAnsi="Times New Roman" w:cs="Times New Roman"/>
          <w:b w:val="0"/>
          <w:bCs w:val="0"/>
          <w:color w:val="auto"/>
          <w:szCs w:val="21"/>
          <w:highlight w:val="none"/>
          <w:u w:val="single"/>
          <w:lang w:val="en-US" w:eastAsia="zh-CN"/>
        </w:rPr>
        <w:t>。</w:t>
      </w:r>
    </w:p>
    <w:p w14:paraId="0F18CB6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jc w:val="both"/>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业绩证明材料要求：</w:t>
      </w:r>
    </w:p>
    <w:p w14:paraId="7DE2D19D">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①合同协议书复印件；</w:t>
      </w:r>
    </w:p>
    <w:p w14:paraId="3FCCA2B9">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②若合同协议书中不能明确反映出采购文件所要求内容的（如合同金额、合同签订时间、供货内容等），则须提供业主单位（甲方）出具加盖公章的证明材料复印件。</w:t>
      </w:r>
    </w:p>
    <w:p w14:paraId="4D67D860">
      <w:pPr>
        <w:pStyle w:val="20"/>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647DF18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lang w:eastAsia="zh-CN"/>
        </w:rPr>
      </w:pPr>
      <w:r>
        <w:rPr>
          <w:rFonts w:hint="default" w:ascii="Times New Roman" w:hAnsi="Times New Roman" w:cs="Times New Roman" w:eastAsiaTheme="minorEastAsia"/>
          <w:color w:val="auto"/>
          <w:szCs w:val="22"/>
          <w:highlight w:val="none"/>
        </w:rPr>
        <w:t>（</w:t>
      </w:r>
      <w:r>
        <w:rPr>
          <w:rFonts w:hint="default" w:ascii="Times New Roman" w:hAnsi="Times New Roman" w:cs="Times New Roman" w:eastAsiaTheme="minorEastAsia"/>
          <w:color w:val="auto"/>
          <w:szCs w:val="22"/>
          <w:highlight w:val="none"/>
          <w:lang w:val="en-US" w:eastAsia="zh-CN"/>
        </w:rPr>
        <w:t>3</w:t>
      </w:r>
      <w:r>
        <w:rPr>
          <w:rFonts w:hint="default" w:ascii="Times New Roman" w:hAnsi="Times New Roman" w:cs="Times New Roman" w:eastAsiaTheme="minorEastAsia"/>
          <w:color w:val="auto"/>
          <w:szCs w:val="22"/>
          <w:highlight w:val="none"/>
        </w:rPr>
        <w:t>）信誉要求最低要求：</w:t>
      </w:r>
    </w:p>
    <w:p w14:paraId="27202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①未被责令停业，暂扣或吊销执照，或吊销资质证书；</w:t>
      </w:r>
    </w:p>
    <w:p w14:paraId="04A7C63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2"/>
          <w:highlight w:val="none"/>
        </w:rPr>
        <w:t>②未进入清算程序，或被宣告破产，或其他丧失履约能力的情形；</w:t>
      </w:r>
    </w:p>
    <w:p w14:paraId="50F31F7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③在国家企业信用信息公示系统（www.gsxt.gov.cn）中未被列入严重违法失信企业名单；</w:t>
      </w:r>
    </w:p>
    <w:p w14:paraId="0D8ADDFC">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④在“信用中国”网站（www.creditchina.gov.cn）中未被列入失信被执行人名单；</w:t>
      </w:r>
    </w:p>
    <w:p w14:paraId="7008B63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⑤在近三年内（自响应文件递交截止之日向前追溯3年）供应商或其法定代表人、拟委任的项目经理</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如有</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未有行贿犯罪行为。</w:t>
      </w:r>
    </w:p>
    <w:p w14:paraId="32F7A8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⑥其他要求：</w:t>
      </w:r>
      <w:r>
        <w:rPr>
          <w:rFonts w:hint="default" w:ascii="Times New Roman" w:hAnsi="Times New Roman" w:cs="Times New Roman" w:eastAsiaTheme="minorEastAsia"/>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eastAsiaTheme="minorEastAsia"/>
          <w:color w:val="auto"/>
          <w:highlight w:val="none"/>
        </w:rPr>
        <w:t>。</w:t>
      </w:r>
    </w:p>
    <w:p w14:paraId="48C186D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3.2 联合体：本次采购不接受联合体报价。</w:t>
      </w:r>
    </w:p>
    <w:p w14:paraId="6867B83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3.3 单位负责人为同一人或者存在控股、管理关系的不同单位，不得同时参加同一合同包报价，否则相关响应文件均无效。</w:t>
      </w:r>
    </w:p>
    <w:p w14:paraId="037F2331">
      <w:pPr>
        <w:pStyle w:val="4"/>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8" w:name="_Toc2996_WPSOffice_Level2"/>
      <w:bookmarkStart w:id="19" w:name="_Toc4751"/>
      <w:bookmarkStart w:id="20" w:name="_Toc29452_WPSOffice_Level2"/>
      <w:bookmarkStart w:id="21" w:name="_Toc4109_WPSOffice_Level2"/>
      <w:bookmarkStart w:id="22" w:name="_Toc525632588"/>
      <w:bookmarkStart w:id="23" w:name="_Toc1994"/>
      <w:bookmarkStart w:id="24" w:name="_Toc25666_WPSOffice_Level2"/>
      <w:r>
        <w:rPr>
          <w:rFonts w:hint="default" w:ascii="Times New Roman" w:hAnsi="Times New Roman" w:eastAsia="黑体" w:cs="Times New Roman"/>
          <w:b w:val="0"/>
          <w:bCs/>
          <w:color w:val="auto"/>
          <w:sz w:val="22"/>
          <w:szCs w:val="15"/>
          <w:highlight w:val="none"/>
          <w:lang w:val="en-US" w:eastAsia="zh-CN"/>
        </w:rPr>
        <w:t>询比文件的获取</w:t>
      </w:r>
      <w:bookmarkEnd w:id="18"/>
      <w:bookmarkEnd w:id="19"/>
      <w:bookmarkEnd w:id="20"/>
      <w:bookmarkEnd w:id="21"/>
      <w:bookmarkEnd w:id="22"/>
      <w:bookmarkEnd w:id="23"/>
      <w:bookmarkEnd w:id="24"/>
    </w:p>
    <w:p w14:paraId="56E2CBF5">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highlight w:val="none"/>
        </w:rPr>
      </w:pPr>
      <w:bookmarkStart w:id="25" w:name="_Toc525632589"/>
      <w:bookmarkStart w:id="26" w:name="_Toc726"/>
      <w:r>
        <w:rPr>
          <w:rFonts w:hint="eastAsia" w:ascii="Times New Roman" w:hAnsi="Times New Roman"/>
          <w:color w:val="auto"/>
          <w:sz w:val="21"/>
          <w:szCs w:val="22"/>
          <w:highlight w:val="none"/>
        </w:rPr>
        <w:t>供应商须在“</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招标公告”栏目了解项目信息、下载询价文件及其他资料（含澄清、答疑及相关补充文件）。咨询电话：0551-62265211。采购人不再另行书面通知，供应商应及时关注、查阅。因未及时查看导致不利后果的，责任自负。</w:t>
      </w:r>
    </w:p>
    <w:p w14:paraId="74ADAE04">
      <w:pPr>
        <w:pStyle w:val="4"/>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响应文件的递交</w:t>
      </w:r>
      <w:bookmarkEnd w:id="25"/>
      <w:bookmarkEnd w:id="26"/>
    </w:p>
    <w:p w14:paraId="53991CF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bookmarkStart w:id="27" w:name="_Toc22719"/>
      <w:bookmarkStart w:id="28" w:name="_Toc525632591"/>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b/>
          <w:bCs/>
          <w:color w:val="auto"/>
          <w:kern w:val="0"/>
          <w:sz w:val="21"/>
          <w:szCs w:val="21"/>
          <w:highlight w:val="none"/>
          <w:u w:val="single"/>
          <w:lang w:val="en-US" w:eastAsia="zh-CN" w:bidi="ar-SA"/>
        </w:rPr>
        <w:t xml:space="preserve"> 2025 </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8</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21</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 xml:space="preserve"> 14 </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 xml:space="preserve"> 30</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1008室</w:t>
      </w:r>
      <w:r>
        <w:rPr>
          <w:rFonts w:hint="default" w:ascii="Times New Roman" w:hAnsi="Times New Roman" w:eastAsia="宋体" w:cs="Times New Roman"/>
          <w:color w:val="auto"/>
          <w:kern w:val="2"/>
          <w:sz w:val="21"/>
          <w:szCs w:val="21"/>
          <w:highlight w:val="none"/>
          <w:lang w:val="en-US" w:eastAsia="zh-CN" w:bidi="ar-SA"/>
        </w:rPr>
        <w:t>。</w:t>
      </w:r>
    </w:p>
    <w:p w14:paraId="15F180B1">
      <w:pPr>
        <w:pStyle w:val="4"/>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szCs w:val="22"/>
          <w:highlight w:val="yellow"/>
        </w:rPr>
        <w:t>供应商的法定代表人应携带本人身份证原件及法定代表人身份证明书；如由授权代理人出席，则需携带本人身份证原件及授权委托书准时参加启封会议。</w:t>
      </w:r>
    </w:p>
    <w:p w14:paraId="1D0D0EF2">
      <w:pPr>
        <w:pStyle w:val="4"/>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响应保证金</w:t>
      </w:r>
    </w:p>
    <w:p w14:paraId="079B6FAA">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响应保证金的金额：</w:t>
      </w:r>
    </w:p>
    <w:p w14:paraId="32FA17BD">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2000</w:t>
      </w:r>
      <w:r>
        <w:rPr>
          <w:rFonts w:hint="eastAsia" w:ascii="Times New Roman" w:hAnsi="Times New Roman" w:eastAsia="宋体" w:cs="Times New Roman"/>
          <w:b/>
          <w:bCs/>
          <w:color w:val="auto"/>
          <w:kern w:val="2"/>
          <w:sz w:val="21"/>
          <w:szCs w:val="21"/>
          <w:highlight w:val="none"/>
          <w:lang w:val="en-US" w:eastAsia="zh-CN" w:bidi="ar-SA"/>
        </w:rPr>
        <w:t>元（大写：</w:t>
      </w:r>
      <w:r>
        <w:rPr>
          <w:rFonts w:hint="eastAsia" w:ascii="Times New Roman" w:hAnsi="Times New Roman" w:eastAsia="宋体" w:cs="Times New Roman"/>
          <w:b/>
          <w:bCs/>
          <w:color w:val="auto"/>
          <w:kern w:val="2"/>
          <w:sz w:val="21"/>
          <w:szCs w:val="21"/>
          <w:highlight w:val="none"/>
          <w:u w:val="single"/>
          <w:lang w:val="en-US" w:eastAsia="zh-CN" w:bidi="ar-SA"/>
        </w:rPr>
        <w:t>贰仟元</w:t>
      </w:r>
      <w:r>
        <w:rPr>
          <w:rFonts w:hint="eastAsia" w:ascii="Times New Roman" w:hAnsi="Times New Roman" w:eastAsia="宋体" w:cs="Times New Roman"/>
          <w:b/>
          <w:bCs/>
          <w:color w:val="auto"/>
          <w:kern w:val="2"/>
          <w:sz w:val="21"/>
          <w:szCs w:val="21"/>
          <w:highlight w:val="none"/>
          <w:lang w:val="en-US" w:eastAsia="zh-CN" w:bidi="ar-SA"/>
        </w:rPr>
        <w:t>）；</w:t>
      </w:r>
    </w:p>
    <w:p w14:paraId="0ABF15BE">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若采用电汇（转账）形式，响应保证金必须由供应商的</w:t>
      </w:r>
      <w:r>
        <w:rPr>
          <w:rFonts w:hint="eastAsia" w:ascii="宋体" w:hAnsi="宋体" w:cs="宋体"/>
          <w:color w:val="auto"/>
          <w:sz w:val="21"/>
          <w:szCs w:val="21"/>
          <w:highlight w:val="none"/>
          <w:lang w:val="en-US" w:eastAsia="zh-CN" w:bidi="ar"/>
        </w:rPr>
        <w:t>银行</w:t>
      </w:r>
      <w:r>
        <w:rPr>
          <w:rFonts w:hint="eastAsia" w:ascii="宋体" w:hAnsi="宋体" w:cs="宋体"/>
          <w:color w:val="auto"/>
          <w:sz w:val="21"/>
          <w:szCs w:val="21"/>
          <w:highlight w:val="none"/>
          <w:lang w:bidi="ar"/>
        </w:rPr>
        <w:t>账户一次性汇入所示账户，并在响应截止时间前到账，否则无效。</w:t>
      </w:r>
    </w:p>
    <w:p w14:paraId="60635043">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响应保证金的账户信息：</w:t>
      </w:r>
    </w:p>
    <w:p w14:paraId="5D8BF0D0">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户</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名：</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安徽省经工物资有限公司</w:t>
      </w:r>
    </w:p>
    <w:p w14:paraId="240A4AFF">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开户银行：</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工行合肥蜀山支行</w:t>
      </w:r>
    </w:p>
    <w:p w14:paraId="089F84CF">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账</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6FFAF5B3">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付款备注：驿达EPC空气能响应保证金</w:t>
      </w:r>
    </w:p>
    <w:p w14:paraId="34969FE2">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254600E3">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备注：</w:t>
      </w:r>
    </w:p>
    <w:p w14:paraId="5E74587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w:t>
      </w:r>
      <w:r>
        <w:rPr>
          <w:rFonts w:hint="default" w:ascii="Times New Roman" w:hAnsi="Times New Roman"/>
          <w:color w:val="auto"/>
          <w:sz w:val="21"/>
          <w:szCs w:val="21"/>
          <w:highlight w:val="none"/>
          <w:lang w:bidi="ar"/>
        </w:rPr>
        <w:t>1</w:t>
      </w:r>
      <w:r>
        <w:rPr>
          <w:rFonts w:hint="eastAsia" w:ascii="宋体" w:hAnsi="宋体" w:cs="宋体"/>
          <w:color w:val="auto"/>
          <w:sz w:val="21"/>
          <w:szCs w:val="21"/>
          <w:highlight w:val="none"/>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①响应保证金的到账截止时间：响应</w:t>
      </w:r>
      <w:r>
        <w:rPr>
          <w:rFonts w:hint="eastAsia" w:ascii="宋体" w:hAnsi="宋体" w:cs="宋体"/>
          <w:color w:val="auto"/>
          <w:sz w:val="21"/>
          <w:szCs w:val="21"/>
          <w:highlight w:val="none"/>
          <w:lang w:val="en-US" w:eastAsia="zh-CN" w:bidi="ar"/>
        </w:rPr>
        <w:t>文件递交</w:t>
      </w:r>
      <w:r>
        <w:rPr>
          <w:rFonts w:hint="eastAsia" w:ascii="宋体" w:hAnsi="宋体" w:cs="宋体"/>
          <w:color w:val="auto"/>
          <w:sz w:val="21"/>
          <w:szCs w:val="21"/>
          <w:highlight w:val="none"/>
          <w:lang w:bidi="ar"/>
        </w:rPr>
        <w:t>截止时间。</w:t>
      </w:r>
    </w:p>
    <w:p w14:paraId="22D83E34">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②供应商账户汇入到上述账户，采购人不接受以个人名义或以现金形式提交的响应保证金。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color w:val="auto"/>
          <w:szCs w:val="21"/>
          <w:highlight w:val="none"/>
        </w:rPr>
      </w:pPr>
      <w:r>
        <w:rPr>
          <w:rFonts w:hint="eastAsia" w:ascii="宋体" w:hAnsi="宋体" w:cs="宋体"/>
          <w:b/>
          <w:color w:val="auto"/>
          <w:sz w:val="21"/>
          <w:szCs w:val="21"/>
          <w:highlight w:val="none"/>
          <w:lang w:bidi="ar"/>
        </w:rPr>
        <w:t>（</w:t>
      </w:r>
      <w:r>
        <w:rPr>
          <w:rFonts w:hint="default" w:ascii="Times New Roman" w:hAnsi="Times New Roman"/>
          <w:b/>
          <w:color w:val="auto"/>
          <w:sz w:val="21"/>
          <w:szCs w:val="21"/>
          <w:highlight w:val="none"/>
          <w:lang w:bidi="ar"/>
        </w:rPr>
        <w:t>2</w:t>
      </w:r>
      <w:r>
        <w:rPr>
          <w:rFonts w:hint="eastAsia" w:ascii="宋体" w:hAnsi="宋体" w:cs="宋体"/>
          <w:b/>
          <w:color w:val="auto"/>
          <w:sz w:val="21"/>
          <w:szCs w:val="21"/>
          <w:highlight w:val="none"/>
          <w:lang w:bidi="ar"/>
        </w:rPr>
        <w:t>）</w:t>
      </w:r>
      <w:r>
        <w:rPr>
          <w:rFonts w:hint="eastAsia" w:ascii="宋体" w:hAnsi="宋体" w:cs="宋体"/>
          <w:b/>
          <w:color w:val="auto"/>
          <w:sz w:val="21"/>
          <w:szCs w:val="21"/>
          <w:highlight w:val="none"/>
          <w:lang w:val="en-US" w:eastAsia="zh-CN" w:bidi="ar"/>
        </w:rPr>
        <w:t>成交公示</w:t>
      </w:r>
      <w:r>
        <w:rPr>
          <w:rFonts w:hint="eastAsia" w:ascii="宋体" w:hAnsi="宋体" w:cs="宋体"/>
          <w:b/>
          <w:color w:val="auto"/>
          <w:sz w:val="21"/>
          <w:szCs w:val="21"/>
          <w:highlight w:val="none"/>
          <w:lang w:bidi="ar"/>
        </w:rPr>
        <w:t>后，</w:t>
      </w:r>
      <w:r>
        <w:rPr>
          <w:rFonts w:hint="eastAsia" w:ascii="宋体" w:hAnsi="宋体" w:cs="宋体"/>
          <w:b/>
          <w:color w:val="auto"/>
          <w:sz w:val="21"/>
          <w:szCs w:val="21"/>
          <w:highlight w:val="none"/>
          <w:lang w:eastAsia="zh-CN" w:bidi="ar"/>
        </w:rPr>
        <w:t>在</w:t>
      </w:r>
      <w:r>
        <w:rPr>
          <w:rFonts w:hint="eastAsia" w:ascii="宋体" w:hAnsi="宋体" w:cs="宋体"/>
          <w:b/>
          <w:color w:val="auto"/>
          <w:sz w:val="21"/>
          <w:szCs w:val="21"/>
          <w:highlight w:val="none"/>
          <w:lang w:val="en-US" w:eastAsia="zh-CN" w:bidi="ar"/>
        </w:rPr>
        <w:t>合同签订前，乙方需向甲方支付合同总价2%的</w:t>
      </w:r>
      <w:r>
        <w:rPr>
          <w:rFonts w:hint="eastAsia" w:ascii="宋体" w:hAnsi="宋体" w:cs="宋体"/>
          <w:b/>
          <w:color w:val="auto"/>
          <w:sz w:val="21"/>
          <w:szCs w:val="21"/>
          <w:highlight w:val="none"/>
          <w:lang w:bidi="ar"/>
        </w:rPr>
        <w:t>履约保证金</w:t>
      </w:r>
      <w:r>
        <w:rPr>
          <w:rFonts w:hint="eastAsia" w:ascii="宋体" w:hAnsi="宋体" w:cs="宋体"/>
          <w:b/>
          <w:color w:val="auto"/>
          <w:sz w:val="21"/>
          <w:szCs w:val="21"/>
          <w:highlight w:val="none"/>
          <w:lang w:val="en-US" w:eastAsia="zh-CN" w:bidi="ar"/>
        </w:rPr>
        <w:t>或提供合同总价5%的银行保函</w:t>
      </w:r>
      <w:r>
        <w:rPr>
          <w:rFonts w:hint="eastAsia" w:ascii="宋体" w:hAnsi="宋体" w:cs="宋体"/>
          <w:b/>
          <w:color w:val="auto"/>
          <w:sz w:val="21"/>
          <w:szCs w:val="21"/>
          <w:highlight w:val="none"/>
          <w:lang w:bidi="ar"/>
        </w:rPr>
        <w:t>。</w:t>
      </w:r>
      <w:r>
        <w:rPr>
          <w:rFonts w:hint="eastAsia" w:ascii="宋体" w:hAnsi="宋体" w:eastAsia="宋体" w:cs="宋体"/>
          <w:color w:val="auto"/>
          <w:szCs w:val="21"/>
          <w:highlight w:val="none"/>
        </w:rPr>
        <w:t xml:space="preserve">  </w:t>
      </w:r>
    </w:p>
    <w:p w14:paraId="110D2E1A">
      <w:pPr>
        <w:pStyle w:val="4"/>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highlight w:val="none"/>
        </w:rPr>
      </w:pPr>
      <w:bookmarkStart w:id="29" w:name="_Toc8501"/>
      <w:bookmarkStart w:id="30" w:name="_Toc20572_WPSOffice_Level2"/>
      <w:bookmarkStart w:id="31" w:name="_Toc28571_WPSOffice_Level2"/>
      <w:bookmarkStart w:id="32" w:name="_Toc525632592"/>
      <w:bookmarkStart w:id="33" w:name="_Toc26829"/>
      <w:bookmarkStart w:id="34" w:name="_Toc321_WPSOffice_Level2"/>
      <w:bookmarkStart w:id="35" w:name="_Toc14943_WPSOffice_Level2"/>
      <w:r>
        <w:rPr>
          <w:rFonts w:hint="eastAsia" w:ascii="Times New Roman" w:hAnsi="Times New Roman"/>
          <w:color w:val="auto"/>
          <w:sz w:val="21"/>
          <w:szCs w:val="22"/>
          <w:highlight w:val="none"/>
        </w:rPr>
        <w:t xml:space="preserve">本次采购公告在“ </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”（网址：www.ahjggroup.com）“招标公告”栏目中发布。</w:t>
      </w:r>
    </w:p>
    <w:p w14:paraId="1B57102E">
      <w:pPr>
        <w:pStyle w:val="4"/>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 购 人：</w:t>
      </w:r>
      <w:r>
        <w:rPr>
          <w:rFonts w:hint="eastAsia" w:ascii="Times New Roman" w:hAnsi="Times New Roman" w:eastAsia="宋体" w:cs="Times New Roman"/>
          <w:color w:val="auto"/>
          <w:sz w:val="21"/>
          <w:szCs w:val="21"/>
          <w:highlight w:val="none"/>
          <w:lang w:eastAsia="zh-CN"/>
        </w:rPr>
        <w:t>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kern w:val="2"/>
          <w:sz w:val="21"/>
          <w:szCs w:val="21"/>
          <w:highlight w:val="none"/>
        </w:rPr>
        <w:t>安徽省合肥市包河区西藏路1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号高速时代广场C1栋</w:t>
      </w:r>
      <w:r>
        <w:rPr>
          <w:rFonts w:hint="default" w:ascii="Times New Roman" w:hAnsi="Times New Roman" w:eastAsia="宋体" w:cs="Times New Roman"/>
          <w:color w:val="auto"/>
          <w:kern w:val="2"/>
          <w:sz w:val="21"/>
          <w:szCs w:val="21"/>
          <w:highlight w:val="none"/>
          <w:lang w:val="en-US" w:eastAsia="zh-CN"/>
        </w:rPr>
        <w:t>1008室</w:t>
      </w:r>
    </w:p>
    <w:p w14:paraId="1A5CF2B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7BCA89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24EB2EA2">
      <w:pPr>
        <w:pStyle w:val="3"/>
        <w:spacing w:before="312" w:after="312"/>
        <w:rPr>
          <w:rFonts w:ascii="Times New Roman" w:hAnsi="Times New Roman" w:eastAsia="宋体" w:cs="Times New Roman"/>
          <w:color w:val="auto"/>
          <w:highlight w:val="none"/>
        </w:rPr>
      </w:pPr>
      <w:r>
        <w:rPr>
          <w:rFonts w:hint="eastAsia" w:ascii="宋体" w:hAnsi="宋体" w:eastAsia="宋体" w:cs="宋体"/>
          <w:color w:val="auto"/>
          <w:sz w:val="21"/>
          <w:szCs w:val="21"/>
          <w:highlight w:val="none"/>
        </w:rPr>
        <w:t xml:space="preserve">  </w:t>
      </w:r>
      <w:bookmarkStart w:id="36" w:name="_Toc25875"/>
      <w:r>
        <w:rPr>
          <w:rFonts w:ascii="Times New Roman" w:hAnsi="Times New Roman" w:eastAsia="宋体" w:cs="Times New Roman"/>
          <w:color w:val="auto"/>
          <w:highlight w:val="none"/>
        </w:rPr>
        <w:t>供应商须知</w:t>
      </w:r>
      <w:bookmarkEnd w:id="36"/>
    </w:p>
    <w:p w14:paraId="75B22214">
      <w:pPr>
        <w:spacing w:line="440" w:lineRule="exact"/>
        <w:jc w:val="center"/>
        <w:outlineLvl w:val="1"/>
        <w:rPr>
          <w:rFonts w:ascii="Times New Roman" w:hAnsi="Times New Roman" w:eastAsia="黑体" w:cs="Times New Roman"/>
          <w:color w:val="auto"/>
          <w:sz w:val="28"/>
          <w:szCs w:val="28"/>
          <w:highlight w:val="none"/>
        </w:rPr>
      </w:pPr>
      <w:bookmarkStart w:id="37" w:name="_Toc55466811"/>
      <w:bookmarkStart w:id="38" w:name="_Toc26656928"/>
      <w:bookmarkStart w:id="39" w:name="_Toc29381_WPSOffice_Level2"/>
      <w:bookmarkStart w:id="40" w:name="_Toc16069"/>
      <w:bookmarkStart w:id="41" w:name="_Toc19501"/>
      <w:r>
        <w:rPr>
          <w:rFonts w:ascii="Times New Roman" w:hAnsi="Times New Roman" w:eastAsia="黑体" w:cs="Times New Roman"/>
          <w:color w:val="auto"/>
          <w:sz w:val="28"/>
          <w:szCs w:val="28"/>
          <w:highlight w:val="none"/>
        </w:rPr>
        <w:t>供应商须知前附表</w:t>
      </w:r>
      <w:bookmarkEnd w:id="37"/>
      <w:bookmarkEnd w:id="38"/>
      <w:bookmarkEnd w:id="39"/>
      <w:bookmarkEnd w:id="40"/>
      <w:bookmarkEnd w:id="41"/>
    </w:p>
    <w:tbl>
      <w:tblPr>
        <w:tblStyle w:val="21"/>
        <w:tblW w:w="93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827"/>
        <w:gridCol w:w="2193"/>
        <w:gridCol w:w="6347"/>
      </w:tblGrid>
      <w:tr w14:paraId="4A729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tblHeader/>
          <w:jc w:val="center"/>
        </w:trPr>
        <w:tc>
          <w:tcPr>
            <w:tcW w:w="827" w:type="dxa"/>
            <w:vAlign w:val="center"/>
          </w:tcPr>
          <w:p w14:paraId="6CE70694">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条款号</w:t>
            </w:r>
          </w:p>
        </w:tc>
        <w:tc>
          <w:tcPr>
            <w:tcW w:w="2193" w:type="dxa"/>
            <w:vAlign w:val="center"/>
          </w:tcPr>
          <w:p w14:paraId="3868D2C7">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 款 名 称</w:t>
            </w:r>
          </w:p>
        </w:tc>
        <w:tc>
          <w:tcPr>
            <w:tcW w:w="6347" w:type="dxa"/>
            <w:vAlign w:val="center"/>
          </w:tcPr>
          <w:p w14:paraId="0E57396D">
            <w:pPr>
              <w:keepNext w:val="0"/>
              <w:keepLines w:val="0"/>
              <w:suppressLineNumbers w:val="0"/>
              <w:spacing w:before="0" w:beforeAutospacing="0" w:after="0" w:afterAutospacing="0"/>
              <w:ind w:left="42" w:leftChars="20" w:right="42" w:rightChars="20"/>
              <w:jc w:val="center"/>
              <w:rPr>
                <w:rFonts w:hint="default"/>
                <w:b/>
                <w:color w:val="auto"/>
                <w:sz w:val="22"/>
                <w:szCs w:val="22"/>
                <w:highlight w:val="none"/>
              </w:rPr>
            </w:pPr>
            <w:r>
              <w:rPr>
                <w:rFonts w:hint="default"/>
                <w:b/>
                <w:color w:val="auto"/>
                <w:sz w:val="22"/>
                <w:szCs w:val="22"/>
                <w:highlight w:val="none"/>
              </w:rPr>
              <w:t>编 列 内 容</w:t>
            </w:r>
          </w:p>
        </w:tc>
      </w:tr>
      <w:tr w14:paraId="265F99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77" w:hRule="atLeast"/>
          <w:jc w:val="center"/>
        </w:trPr>
        <w:tc>
          <w:tcPr>
            <w:tcW w:w="827" w:type="dxa"/>
            <w:vAlign w:val="center"/>
          </w:tcPr>
          <w:p w14:paraId="1C58CCD0">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1</w:t>
            </w:r>
          </w:p>
        </w:tc>
        <w:tc>
          <w:tcPr>
            <w:tcW w:w="2193" w:type="dxa"/>
            <w:vAlign w:val="center"/>
          </w:tcPr>
          <w:p w14:paraId="4D5599BC">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采购</w:t>
            </w:r>
            <w:r>
              <w:rPr>
                <w:rFonts w:hint="default"/>
                <w:color w:val="auto"/>
                <w:sz w:val="22"/>
                <w:szCs w:val="22"/>
                <w:highlight w:val="none"/>
              </w:rPr>
              <w:t>人</w:t>
            </w:r>
          </w:p>
        </w:tc>
        <w:tc>
          <w:tcPr>
            <w:tcW w:w="6347" w:type="dxa"/>
            <w:vAlign w:val="center"/>
          </w:tcPr>
          <w:p w14:paraId="673B664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Cs/>
                <w:color w:val="auto"/>
                <w:kern w:val="0"/>
                <w:sz w:val="22"/>
                <w:szCs w:val="22"/>
                <w:highlight w:val="none"/>
                <w:lang w:bidi="ar"/>
              </w:rPr>
              <w:t>见</w:t>
            </w:r>
            <w:r>
              <w:rPr>
                <w:rFonts w:hint="eastAsia"/>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74DD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3AF887FD">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2</w:t>
            </w:r>
          </w:p>
        </w:tc>
        <w:tc>
          <w:tcPr>
            <w:tcW w:w="2193" w:type="dxa"/>
            <w:vAlign w:val="center"/>
          </w:tcPr>
          <w:p w14:paraId="011BD65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招标代理机构</w:t>
            </w:r>
          </w:p>
        </w:tc>
        <w:tc>
          <w:tcPr>
            <w:tcW w:w="6347" w:type="dxa"/>
            <w:vAlign w:val="center"/>
          </w:tcPr>
          <w:p w14:paraId="4EF7499B">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bCs/>
                <w:color w:val="auto"/>
                <w:kern w:val="0"/>
                <w:sz w:val="22"/>
                <w:szCs w:val="22"/>
                <w:highlight w:val="none"/>
                <w:lang w:eastAsia="zh-CN" w:bidi="ar"/>
              </w:rPr>
              <w:t>无</w:t>
            </w:r>
          </w:p>
        </w:tc>
      </w:tr>
      <w:tr w14:paraId="262A1E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F08C201">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3</w:t>
            </w:r>
          </w:p>
        </w:tc>
        <w:tc>
          <w:tcPr>
            <w:tcW w:w="2193" w:type="dxa"/>
            <w:vAlign w:val="center"/>
          </w:tcPr>
          <w:p w14:paraId="6AF214F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项目名称</w:t>
            </w:r>
          </w:p>
        </w:tc>
        <w:tc>
          <w:tcPr>
            <w:tcW w:w="6347" w:type="dxa"/>
            <w:vAlign w:val="center"/>
          </w:tcPr>
          <w:p w14:paraId="1F1B3898">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5A4447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6213E59">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4</w:t>
            </w:r>
          </w:p>
        </w:tc>
        <w:tc>
          <w:tcPr>
            <w:tcW w:w="2193" w:type="dxa"/>
            <w:vAlign w:val="center"/>
          </w:tcPr>
          <w:p w14:paraId="7153838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工程项目名称</w:t>
            </w:r>
          </w:p>
        </w:tc>
        <w:tc>
          <w:tcPr>
            <w:tcW w:w="6347" w:type="dxa"/>
            <w:vAlign w:val="center"/>
          </w:tcPr>
          <w:p w14:paraId="1D096206">
            <w:pPr>
              <w:keepNext w:val="0"/>
              <w:keepLines w:val="0"/>
              <w:suppressLineNumbers w:val="0"/>
              <w:spacing w:before="0" w:beforeAutospacing="0" w:after="0" w:afterAutospacing="0"/>
              <w:ind w:left="42" w:leftChars="20" w:right="42" w:rightChars="20"/>
              <w:jc w:val="left"/>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1405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508E3A6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5</w:t>
            </w:r>
          </w:p>
        </w:tc>
        <w:tc>
          <w:tcPr>
            <w:tcW w:w="2193" w:type="dxa"/>
            <w:vAlign w:val="center"/>
          </w:tcPr>
          <w:p w14:paraId="1D70FD1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资金来源及比例</w:t>
            </w:r>
          </w:p>
        </w:tc>
        <w:tc>
          <w:tcPr>
            <w:tcW w:w="6347" w:type="dxa"/>
            <w:vAlign w:val="center"/>
          </w:tcPr>
          <w:p w14:paraId="21FCB393">
            <w:pPr>
              <w:keepNext w:val="0"/>
              <w:keepLines w:val="0"/>
              <w:suppressLineNumbers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业主自筹，100%</w:t>
            </w:r>
          </w:p>
        </w:tc>
      </w:tr>
      <w:tr w14:paraId="5D1FF6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BA70272">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6</w:t>
            </w:r>
          </w:p>
        </w:tc>
        <w:tc>
          <w:tcPr>
            <w:tcW w:w="2193" w:type="dxa"/>
            <w:vAlign w:val="center"/>
          </w:tcPr>
          <w:p w14:paraId="1225648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default"/>
                <w:color w:val="auto"/>
                <w:sz w:val="22"/>
                <w:szCs w:val="22"/>
                <w:highlight w:val="none"/>
              </w:rPr>
              <w:t>资金落实情况</w:t>
            </w:r>
          </w:p>
        </w:tc>
        <w:tc>
          <w:tcPr>
            <w:tcW w:w="6347" w:type="dxa"/>
            <w:vAlign w:val="center"/>
          </w:tcPr>
          <w:p w14:paraId="0919BB71">
            <w:pPr>
              <w:keepNext w:val="0"/>
              <w:keepLines w:val="0"/>
              <w:suppressLineNumbers w:val="0"/>
              <w:spacing w:before="0" w:beforeAutospacing="0" w:after="0" w:afterAutospacing="0"/>
              <w:ind w:left="42" w:leftChars="20" w:right="42" w:rightChars="20"/>
              <w:rPr>
                <w:rFonts w:hint="eastAsia" w:ascii="宋体" w:hAnsi="宋体" w:eastAsia="宋体" w:cs="宋体"/>
                <w:bCs/>
                <w:color w:val="auto"/>
                <w:kern w:val="0"/>
                <w:sz w:val="22"/>
                <w:szCs w:val="22"/>
                <w:highlight w:val="none"/>
                <w:lang w:bidi="ar"/>
              </w:rPr>
            </w:pPr>
            <w:r>
              <w:rPr>
                <w:rFonts w:hint="eastAsia" w:ascii="宋体" w:hAnsi="宋体" w:eastAsia="宋体" w:cs="宋体"/>
                <w:color w:val="auto"/>
                <w:sz w:val="22"/>
                <w:szCs w:val="22"/>
                <w:highlight w:val="none"/>
              </w:rPr>
              <w:t>已落实</w:t>
            </w:r>
          </w:p>
        </w:tc>
      </w:tr>
      <w:tr w14:paraId="1B44AB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A89419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7</w:t>
            </w:r>
          </w:p>
        </w:tc>
        <w:tc>
          <w:tcPr>
            <w:tcW w:w="2193" w:type="dxa"/>
            <w:vAlign w:val="center"/>
          </w:tcPr>
          <w:p w14:paraId="3C79A15D">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发货期</w:t>
            </w:r>
          </w:p>
        </w:tc>
        <w:tc>
          <w:tcPr>
            <w:tcW w:w="6347" w:type="dxa"/>
            <w:vAlign w:val="center"/>
          </w:tcPr>
          <w:p w14:paraId="053D2A9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3E61A0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9DB6F7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8</w:t>
            </w:r>
          </w:p>
        </w:tc>
        <w:tc>
          <w:tcPr>
            <w:tcW w:w="2193" w:type="dxa"/>
            <w:vAlign w:val="center"/>
          </w:tcPr>
          <w:p w14:paraId="087D552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交货地点</w:t>
            </w:r>
          </w:p>
        </w:tc>
        <w:tc>
          <w:tcPr>
            <w:tcW w:w="6347" w:type="dxa"/>
            <w:vAlign w:val="center"/>
          </w:tcPr>
          <w:p w14:paraId="4C0BDBF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65089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93D2803">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9</w:t>
            </w:r>
          </w:p>
        </w:tc>
        <w:tc>
          <w:tcPr>
            <w:tcW w:w="2193" w:type="dxa"/>
            <w:vAlign w:val="center"/>
          </w:tcPr>
          <w:p w14:paraId="6A00657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 xml:space="preserve">技术性能指标 </w:t>
            </w:r>
          </w:p>
        </w:tc>
        <w:tc>
          <w:tcPr>
            <w:tcW w:w="6347" w:type="dxa"/>
            <w:vAlign w:val="center"/>
          </w:tcPr>
          <w:p w14:paraId="0E71A56B">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要求</w:t>
            </w:r>
          </w:p>
        </w:tc>
      </w:tr>
      <w:tr w14:paraId="59318B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2918689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vertAlign w:val="superscript"/>
              </w:rPr>
            </w:pPr>
            <w:r>
              <w:rPr>
                <w:rFonts w:hint="default" w:ascii="Calibri" w:hAnsi="Calibri" w:eastAsia="宋体" w:cs="Calibri"/>
                <w:i w:val="0"/>
                <w:iCs w:val="0"/>
                <w:color w:val="auto"/>
                <w:kern w:val="0"/>
                <w:sz w:val="22"/>
                <w:szCs w:val="22"/>
                <w:highlight w:val="none"/>
                <w:u w:val="none"/>
                <w:lang w:val="en-US" w:eastAsia="zh-CN" w:bidi="ar"/>
              </w:rPr>
              <w:t>10</w:t>
            </w:r>
          </w:p>
        </w:tc>
        <w:tc>
          <w:tcPr>
            <w:tcW w:w="2193" w:type="dxa"/>
            <w:vAlign w:val="center"/>
          </w:tcPr>
          <w:p w14:paraId="464D3E8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资质条件、能力</w:t>
            </w:r>
            <w:r>
              <w:rPr>
                <w:rFonts w:hint="eastAsia"/>
                <w:color w:val="auto"/>
                <w:sz w:val="22"/>
                <w:szCs w:val="22"/>
                <w:highlight w:val="none"/>
              </w:rPr>
              <w:t>、</w:t>
            </w:r>
            <w:r>
              <w:rPr>
                <w:rFonts w:hint="default"/>
                <w:color w:val="auto"/>
                <w:sz w:val="22"/>
                <w:szCs w:val="22"/>
                <w:highlight w:val="none"/>
              </w:rPr>
              <w:t>信誉</w:t>
            </w:r>
          </w:p>
        </w:tc>
        <w:tc>
          <w:tcPr>
            <w:tcW w:w="6347" w:type="dxa"/>
            <w:vAlign w:val="center"/>
          </w:tcPr>
          <w:p w14:paraId="0F83A6D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见附件</w:t>
            </w:r>
          </w:p>
        </w:tc>
      </w:tr>
      <w:tr w14:paraId="5A456C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381DD7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11</w:t>
            </w:r>
          </w:p>
        </w:tc>
        <w:tc>
          <w:tcPr>
            <w:tcW w:w="2193" w:type="dxa"/>
            <w:vAlign w:val="center"/>
          </w:tcPr>
          <w:p w14:paraId="68540773">
            <w:pPr>
              <w:keepNext w:val="0"/>
              <w:keepLines w:val="0"/>
              <w:suppressLineNumbers w:val="0"/>
              <w:spacing w:before="0" w:beforeAutospacing="0" w:after="0" w:afterAutospacing="0"/>
              <w:ind w:left="0" w:right="0"/>
              <w:jc w:val="center"/>
              <w:rPr>
                <w:rFonts w:hint="eastAsia" w:eastAsiaTheme="minorEastAsia"/>
                <w:color w:val="auto"/>
                <w:sz w:val="22"/>
                <w:szCs w:val="22"/>
                <w:highlight w:val="none"/>
                <w:lang w:val="en-US" w:eastAsia="zh-CN"/>
              </w:rPr>
            </w:pPr>
            <w:r>
              <w:rPr>
                <w:rFonts w:hint="default"/>
                <w:color w:val="auto"/>
                <w:sz w:val="22"/>
                <w:szCs w:val="22"/>
                <w:highlight w:val="none"/>
              </w:rPr>
              <w:t>是否接受联合体</w:t>
            </w:r>
            <w:r>
              <w:rPr>
                <w:rFonts w:hint="eastAsia"/>
                <w:color w:val="auto"/>
                <w:sz w:val="22"/>
                <w:szCs w:val="22"/>
                <w:highlight w:val="none"/>
                <w:lang w:val="en-US" w:eastAsia="zh-CN"/>
              </w:rPr>
              <w:t>响应</w:t>
            </w:r>
          </w:p>
        </w:tc>
        <w:tc>
          <w:tcPr>
            <w:tcW w:w="6347" w:type="dxa"/>
            <w:vAlign w:val="center"/>
          </w:tcPr>
          <w:p w14:paraId="655E53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tc>
      </w:tr>
      <w:tr w14:paraId="416F17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4D24FE1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12</w:t>
            </w:r>
          </w:p>
        </w:tc>
        <w:tc>
          <w:tcPr>
            <w:tcW w:w="2193" w:type="dxa"/>
            <w:vAlign w:val="center"/>
          </w:tcPr>
          <w:p w14:paraId="49A61EBA">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不得存在的其他关联情形</w:t>
            </w:r>
          </w:p>
        </w:tc>
        <w:tc>
          <w:tcPr>
            <w:tcW w:w="6347" w:type="dxa"/>
            <w:vAlign w:val="center"/>
          </w:tcPr>
          <w:p w14:paraId="5C8AF11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2C9AA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969B00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13</w:t>
            </w:r>
          </w:p>
        </w:tc>
        <w:tc>
          <w:tcPr>
            <w:tcW w:w="2193" w:type="dxa"/>
            <w:vAlign w:val="center"/>
          </w:tcPr>
          <w:p w14:paraId="2207F4C7">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预备会</w:t>
            </w:r>
          </w:p>
        </w:tc>
        <w:tc>
          <w:tcPr>
            <w:tcW w:w="6347" w:type="dxa"/>
            <w:vAlign w:val="center"/>
          </w:tcPr>
          <w:p w14:paraId="5FFE4EB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不召开</w:t>
            </w:r>
          </w:p>
        </w:tc>
      </w:tr>
      <w:tr w14:paraId="73B2CB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0A244DA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14</w:t>
            </w:r>
          </w:p>
        </w:tc>
        <w:tc>
          <w:tcPr>
            <w:tcW w:w="2193" w:type="dxa"/>
            <w:vAlign w:val="center"/>
          </w:tcPr>
          <w:p w14:paraId="3630799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分包</w:t>
            </w:r>
          </w:p>
        </w:tc>
        <w:tc>
          <w:tcPr>
            <w:tcW w:w="6347" w:type="dxa"/>
            <w:vAlign w:val="center"/>
          </w:tcPr>
          <w:p w14:paraId="4B67878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不允许</w:t>
            </w:r>
          </w:p>
          <w:p w14:paraId="77DC6CE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□允许，分包内容要求：</w:t>
            </w:r>
          </w:p>
          <w:p w14:paraId="3C76546D">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分包金额要求：</w:t>
            </w:r>
          </w:p>
          <w:p w14:paraId="128CDFB1">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对分包人的资质要求：</w:t>
            </w:r>
          </w:p>
        </w:tc>
      </w:tr>
      <w:tr w14:paraId="3BA724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F64DAAD">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15</w:t>
            </w:r>
          </w:p>
        </w:tc>
        <w:tc>
          <w:tcPr>
            <w:tcW w:w="2193" w:type="dxa"/>
            <w:vAlign w:val="center"/>
          </w:tcPr>
          <w:p w14:paraId="3795D4F7">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实质性要求和条件</w:t>
            </w:r>
          </w:p>
        </w:tc>
        <w:tc>
          <w:tcPr>
            <w:tcW w:w="6347" w:type="dxa"/>
            <w:vAlign w:val="center"/>
          </w:tcPr>
          <w:p w14:paraId="5DE82C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第五章供货要求的相关规定</w:t>
            </w:r>
          </w:p>
        </w:tc>
      </w:tr>
      <w:tr w14:paraId="319B13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A431D0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16</w:t>
            </w:r>
          </w:p>
        </w:tc>
        <w:tc>
          <w:tcPr>
            <w:tcW w:w="2193" w:type="dxa"/>
            <w:vAlign w:val="center"/>
          </w:tcPr>
          <w:p w14:paraId="297F53EC">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其他可以被接受的技术支持资料</w:t>
            </w:r>
          </w:p>
        </w:tc>
        <w:tc>
          <w:tcPr>
            <w:tcW w:w="6347" w:type="dxa"/>
            <w:vAlign w:val="center"/>
          </w:tcPr>
          <w:p w14:paraId="40B8C71C">
            <w:pPr>
              <w:keepNext w:val="0"/>
              <w:keepLines w:val="0"/>
              <w:suppressLineNumbers w:val="0"/>
              <w:spacing w:before="0" w:beforeAutospacing="0" w:after="0" w:afterAutospacing="0"/>
              <w:ind w:left="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AC60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5ED352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17</w:t>
            </w:r>
          </w:p>
        </w:tc>
        <w:tc>
          <w:tcPr>
            <w:tcW w:w="2193" w:type="dxa"/>
            <w:vAlign w:val="center"/>
          </w:tcPr>
          <w:p w14:paraId="587DFEB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偏差</w:t>
            </w:r>
          </w:p>
        </w:tc>
        <w:tc>
          <w:tcPr>
            <w:tcW w:w="6347" w:type="dxa"/>
            <w:vAlign w:val="center"/>
          </w:tcPr>
          <w:p w14:paraId="584DA5F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Style w:val="47"/>
                <w:rFonts w:hint="eastAsia" w:ascii="宋体" w:hAnsi="宋体" w:eastAsia="宋体" w:cs="宋体"/>
                <w:bCs/>
                <w:color w:val="auto"/>
                <w:sz w:val="22"/>
                <w:szCs w:val="22"/>
                <w:highlight w:val="none"/>
                <w:lang w:bidi="ar"/>
              </w:rPr>
              <w:t>允许有利于</w:t>
            </w:r>
            <w:r>
              <w:rPr>
                <w:rStyle w:val="47"/>
                <w:rFonts w:hint="eastAsia" w:ascii="宋体" w:hAnsi="宋体" w:eastAsia="宋体" w:cs="宋体"/>
                <w:bCs/>
                <w:color w:val="auto"/>
                <w:sz w:val="22"/>
                <w:szCs w:val="22"/>
                <w:highlight w:val="none"/>
                <w:lang w:eastAsia="zh-CN" w:bidi="ar"/>
              </w:rPr>
              <w:t>采购人</w:t>
            </w:r>
            <w:r>
              <w:rPr>
                <w:rStyle w:val="47"/>
                <w:rFonts w:hint="eastAsia" w:ascii="宋体" w:hAnsi="宋体" w:eastAsia="宋体" w:cs="宋体"/>
                <w:bCs/>
                <w:color w:val="auto"/>
                <w:sz w:val="22"/>
                <w:szCs w:val="22"/>
                <w:highlight w:val="none"/>
                <w:lang w:bidi="ar"/>
              </w:rPr>
              <w:t>的偏差</w:t>
            </w:r>
          </w:p>
        </w:tc>
      </w:tr>
      <w:tr w14:paraId="150A91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C2347E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18</w:t>
            </w:r>
          </w:p>
        </w:tc>
        <w:tc>
          <w:tcPr>
            <w:tcW w:w="2193" w:type="dxa"/>
            <w:vAlign w:val="center"/>
          </w:tcPr>
          <w:p w14:paraId="64B05401">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构成</w:t>
            </w:r>
            <w:r>
              <w:rPr>
                <w:rFonts w:hint="eastAsia"/>
                <w:color w:val="auto"/>
                <w:sz w:val="22"/>
                <w:szCs w:val="22"/>
                <w:highlight w:val="none"/>
                <w:lang w:eastAsia="zh-CN"/>
              </w:rPr>
              <w:t>响应文件</w:t>
            </w:r>
            <w:r>
              <w:rPr>
                <w:rFonts w:hint="eastAsia"/>
                <w:color w:val="auto"/>
                <w:sz w:val="22"/>
                <w:szCs w:val="22"/>
                <w:highlight w:val="none"/>
              </w:rPr>
              <w:t>的其他资料</w:t>
            </w:r>
          </w:p>
        </w:tc>
        <w:tc>
          <w:tcPr>
            <w:tcW w:w="6347" w:type="dxa"/>
            <w:vAlign w:val="center"/>
          </w:tcPr>
          <w:p w14:paraId="32A76DB2">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发布的有关本次</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的补遗书（澄清与修改）等。</w:t>
            </w:r>
          </w:p>
        </w:tc>
      </w:tr>
      <w:tr w14:paraId="679969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81" w:hRule="atLeast"/>
          <w:jc w:val="center"/>
        </w:trPr>
        <w:tc>
          <w:tcPr>
            <w:tcW w:w="827" w:type="dxa"/>
            <w:vMerge w:val="restart"/>
            <w:vAlign w:val="center"/>
          </w:tcPr>
          <w:p w14:paraId="2034357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19</w:t>
            </w:r>
          </w:p>
        </w:tc>
        <w:tc>
          <w:tcPr>
            <w:tcW w:w="2193" w:type="dxa"/>
            <w:vMerge w:val="restart"/>
            <w:vAlign w:val="center"/>
          </w:tcPr>
          <w:p w14:paraId="68BBFC78">
            <w:pPr>
              <w:keepNext w:val="0"/>
              <w:keepLines w:val="0"/>
              <w:suppressLineNumbers w:val="0"/>
              <w:spacing w:before="0" w:beforeAutospacing="0" w:after="0" w:afterAutospacing="0"/>
              <w:ind w:left="105" w:leftChars="50" w:right="0"/>
              <w:jc w:val="center"/>
              <w:rPr>
                <w:rFonts w:hint="eastAsia" w:eastAsiaTheme="minorEastAsia"/>
                <w:color w:val="auto"/>
                <w:sz w:val="22"/>
                <w:szCs w:val="22"/>
                <w:highlight w:val="none"/>
                <w:lang w:eastAsia="zh-CN"/>
              </w:rPr>
            </w:pPr>
            <w:r>
              <w:rPr>
                <w:rFonts w:hint="eastAsia"/>
                <w:color w:val="auto"/>
                <w:sz w:val="22"/>
                <w:szCs w:val="22"/>
                <w:highlight w:val="none"/>
                <w:lang w:eastAsia="zh-CN"/>
              </w:rPr>
              <w:t>供应商</w:t>
            </w:r>
            <w:r>
              <w:rPr>
                <w:rFonts w:hint="default"/>
                <w:color w:val="auto"/>
                <w:sz w:val="22"/>
                <w:szCs w:val="22"/>
                <w:highlight w:val="none"/>
              </w:rPr>
              <w:t>要求澄清</w:t>
            </w:r>
            <w:r>
              <w:rPr>
                <w:rFonts w:hint="eastAsia"/>
                <w:color w:val="auto"/>
                <w:sz w:val="22"/>
                <w:szCs w:val="22"/>
                <w:highlight w:val="none"/>
                <w:lang w:eastAsia="zh-CN"/>
              </w:rPr>
              <w:t>响应文件</w:t>
            </w:r>
          </w:p>
        </w:tc>
        <w:tc>
          <w:tcPr>
            <w:tcW w:w="6347" w:type="dxa"/>
            <w:vAlign w:val="center"/>
          </w:tcPr>
          <w:p w14:paraId="580C117B">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截止</w:t>
            </w:r>
            <w:r>
              <w:rPr>
                <w:rFonts w:hint="eastAsia" w:ascii="宋体" w:hAnsi="宋体" w:eastAsia="宋体" w:cs="宋体"/>
                <w:color w:val="auto"/>
                <w:sz w:val="22"/>
                <w:szCs w:val="22"/>
                <w:highlight w:val="none"/>
              </w:rPr>
              <w:t>之日</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天前。</w:t>
            </w:r>
          </w:p>
        </w:tc>
      </w:tr>
      <w:tr w14:paraId="7D4DB6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Merge w:val="continue"/>
            <w:vAlign w:val="center"/>
          </w:tcPr>
          <w:p w14:paraId="5E0799C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2193" w:type="dxa"/>
            <w:vMerge w:val="continue"/>
            <w:vAlign w:val="center"/>
          </w:tcPr>
          <w:p w14:paraId="7943BB7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6347" w:type="dxa"/>
            <w:vAlign w:val="center"/>
          </w:tcPr>
          <w:p w14:paraId="652E8F59">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形式：“</w:t>
            </w:r>
            <w:r>
              <w:rPr>
                <w:rFonts w:hint="eastAsia" w:cs="宋体"/>
                <w:color w:val="auto"/>
                <w:sz w:val="22"/>
                <w:szCs w:val="22"/>
                <w:highlight w:val="none"/>
                <w:lang w:eastAsia="zh-CN"/>
              </w:rPr>
              <w:t>安徽交控建设工程集团有限公司</w:t>
            </w:r>
            <w:r>
              <w:rPr>
                <w:rFonts w:hint="eastAsia" w:ascii="宋体" w:hAnsi="宋体" w:eastAsia="宋体" w:cs="宋体"/>
                <w:color w:val="auto"/>
                <w:sz w:val="22"/>
                <w:szCs w:val="22"/>
                <w:highlight w:val="none"/>
              </w:rPr>
              <w:t>”（网址：www.ahjggroup.com）“招标公告”栏目</w:t>
            </w:r>
            <w:r>
              <w:rPr>
                <w:rFonts w:hint="eastAsia" w:ascii="宋体" w:hAnsi="宋体" w:eastAsia="宋体" w:cs="宋体"/>
                <w:color w:val="auto"/>
                <w:sz w:val="22"/>
                <w:szCs w:val="22"/>
                <w:highlight w:val="none"/>
                <w:lang w:eastAsia="zh-CN"/>
              </w:rPr>
              <w:t>发布</w:t>
            </w:r>
          </w:p>
        </w:tc>
      </w:tr>
      <w:tr w14:paraId="31320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21A8B19">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20</w:t>
            </w:r>
          </w:p>
        </w:tc>
        <w:tc>
          <w:tcPr>
            <w:tcW w:w="2193" w:type="dxa"/>
            <w:vAlign w:val="center"/>
          </w:tcPr>
          <w:p w14:paraId="4299B12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响应文件</w:t>
            </w:r>
            <w:r>
              <w:rPr>
                <w:rFonts w:hint="eastAsia"/>
                <w:color w:val="auto"/>
                <w:sz w:val="22"/>
                <w:szCs w:val="22"/>
                <w:highlight w:val="none"/>
              </w:rPr>
              <w:t xml:space="preserve">澄清发出的形式 </w:t>
            </w:r>
          </w:p>
        </w:tc>
        <w:tc>
          <w:tcPr>
            <w:tcW w:w="6347" w:type="dxa"/>
            <w:vAlign w:val="center"/>
          </w:tcPr>
          <w:p w14:paraId="62370D3F">
            <w:pPr>
              <w:keepNext w:val="0"/>
              <w:keepLines w:val="0"/>
              <w:suppressLineNumbers w:val="0"/>
              <w:wordWrap w:val="0"/>
              <w:spacing w:before="0" w:beforeAutospacing="0" w:after="0" w:afterAutospacing="0"/>
              <w:ind w:left="42" w:leftChars="20" w:right="42" w:rightChars="2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澄清将在“</w:t>
            </w:r>
            <w:r>
              <w:rPr>
                <w:rFonts w:hint="eastAsia" w:ascii="宋体" w:hAnsi="宋体" w:eastAsia="宋体" w:cs="宋体"/>
                <w:color w:val="auto"/>
                <w:sz w:val="22"/>
                <w:szCs w:val="22"/>
                <w:highlight w:val="none"/>
                <w:lang w:eastAsia="zh-CN"/>
              </w:rPr>
              <w:t xml:space="preserve"> 安徽交控建设工程集团有限公司</w:t>
            </w:r>
            <w:r>
              <w:rPr>
                <w:rFonts w:hint="eastAsia" w:ascii="宋体" w:hAnsi="宋体" w:eastAsia="宋体" w:cs="宋体"/>
                <w:color w:val="auto"/>
                <w:sz w:val="22"/>
                <w:szCs w:val="22"/>
                <w:highlight w:val="none"/>
              </w:rPr>
              <w:t>”（网址：www.ahjggroup.com）“招标公告”栏目</w:t>
            </w:r>
            <w:r>
              <w:rPr>
                <w:rFonts w:hint="eastAsia" w:ascii="宋体" w:hAnsi="宋体" w:eastAsia="宋体" w:cs="宋体"/>
                <w:color w:val="auto"/>
                <w:sz w:val="22"/>
                <w:szCs w:val="22"/>
                <w:highlight w:val="none"/>
                <w:lang w:eastAsia="zh-CN"/>
              </w:rPr>
              <w:t>发出</w:t>
            </w:r>
          </w:p>
        </w:tc>
      </w:tr>
      <w:tr w14:paraId="144F38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19A5B48C">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21</w:t>
            </w:r>
          </w:p>
        </w:tc>
        <w:tc>
          <w:tcPr>
            <w:tcW w:w="2193" w:type="dxa"/>
            <w:vAlign w:val="center"/>
          </w:tcPr>
          <w:p w14:paraId="23C9063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供应商</w:t>
            </w:r>
            <w:r>
              <w:rPr>
                <w:rFonts w:hint="eastAsia"/>
                <w:color w:val="auto"/>
                <w:sz w:val="22"/>
                <w:szCs w:val="22"/>
                <w:highlight w:val="none"/>
              </w:rPr>
              <w:t>确认收到</w:t>
            </w:r>
            <w:r>
              <w:rPr>
                <w:rFonts w:hint="eastAsia"/>
                <w:color w:val="auto"/>
                <w:sz w:val="22"/>
                <w:szCs w:val="22"/>
                <w:highlight w:val="none"/>
                <w:lang w:eastAsia="zh-CN"/>
              </w:rPr>
              <w:t>响应文件</w:t>
            </w:r>
            <w:r>
              <w:rPr>
                <w:rFonts w:hint="eastAsia"/>
                <w:color w:val="auto"/>
                <w:sz w:val="22"/>
                <w:szCs w:val="22"/>
                <w:highlight w:val="none"/>
              </w:rPr>
              <w:t>澄清</w:t>
            </w:r>
          </w:p>
        </w:tc>
        <w:tc>
          <w:tcPr>
            <w:tcW w:w="6347" w:type="dxa"/>
            <w:vAlign w:val="center"/>
          </w:tcPr>
          <w:p w14:paraId="042C5927">
            <w:pPr>
              <w:pStyle w:val="41"/>
              <w:keepNext w:val="0"/>
              <w:keepLines w:val="0"/>
              <w:suppressLineNumbers w:val="0"/>
              <w:snapToGrid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应关注</w:t>
            </w:r>
            <w:r>
              <w:rPr>
                <w:rFonts w:hint="eastAsia" w:ascii="宋体" w:hAnsi="宋体" w:eastAsia="宋体" w:cs="宋体"/>
                <w:color w:val="auto"/>
                <w:sz w:val="22"/>
                <w:szCs w:val="22"/>
                <w:highlight w:val="none"/>
                <w:lang w:eastAsia="zh-CN"/>
              </w:rPr>
              <w:t>安徽交控建设工程集团</w:t>
            </w:r>
            <w:r>
              <w:rPr>
                <w:rFonts w:hint="eastAsia" w:ascii="宋体" w:hAnsi="宋体" w:eastAsia="宋体" w:cs="宋体"/>
                <w:color w:val="auto"/>
                <w:sz w:val="22"/>
                <w:szCs w:val="22"/>
                <w:highlight w:val="none"/>
              </w:rPr>
              <w:t>（网址：www.ahjggroup.com）的网站，及时</w:t>
            </w:r>
            <w:r>
              <w:rPr>
                <w:rFonts w:hint="eastAsia" w:ascii="宋体" w:hAnsi="宋体" w:eastAsia="宋体" w:cs="宋体"/>
                <w:color w:val="auto"/>
                <w:sz w:val="22"/>
                <w:szCs w:val="22"/>
                <w:highlight w:val="none"/>
                <w:lang w:eastAsia="zh-CN"/>
              </w:rPr>
              <w:t>查看响应文件</w:t>
            </w:r>
            <w:r>
              <w:rPr>
                <w:rFonts w:hint="eastAsia" w:ascii="宋体" w:hAnsi="宋体" w:eastAsia="宋体" w:cs="宋体"/>
                <w:color w:val="auto"/>
                <w:sz w:val="22"/>
                <w:szCs w:val="22"/>
                <w:highlight w:val="none"/>
              </w:rPr>
              <w:t>澄清。</w:t>
            </w:r>
          </w:p>
        </w:tc>
      </w:tr>
      <w:tr w14:paraId="508B7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E84928B">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22</w:t>
            </w:r>
          </w:p>
        </w:tc>
        <w:tc>
          <w:tcPr>
            <w:tcW w:w="2193" w:type="dxa"/>
            <w:vAlign w:val="center"/>
          </w:tcPr>
          <w:p w14:paraId="14017135">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val="en-US" w:eastAsia="zh-CN"/>
              </w:rPr>
            </w:pPr>
            <w:r>
              <w:rPr>
                <w:rFonts w:hint="eastAsia"/>
                <w:color w:val="auto"/>
                <w:sz w:val="22"/>
                <w:szCs w:val="22"/>
                <w:highlight w:val="none"/>
              </w:rPr>
              <w:t>响应文件份数</w:t>
            </w:r>
          </w:p>
        </w:tc>
        <w:tc>
          <w:tcPr>
            <w:tcW w:w="6347" w:type="dxa"/>
            <w:vAlign w:val="center"/>
          </w:tcPr>
          <w:p w14:paraId="59DC1050">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
              </w:rPr>
              <w:t>正本壹份，副本壹份（需密封）。正副本内容不一致时，以正本为准。</w:t>
            </w:r>
          </w:p>
        </w:tc>
      </w:tr>
      <w:tr w14:paraId="22AE89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90" w:hRule="atLeast"/>
          <w:jc w:val="center"/>
        </w:trPr>
        <w:tc>
          <w:tcPr>
            <w:tcW w:w="827" w:type="dxa"/>
            <w:vAlign w:val="center"/>
          </w:tcPr>
          <w:p w14:paraId="146BE6B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23</w:t>
            </w:r>
          </w:p>
        </w:tc>
        <w:tc>
          <w:tcPr>
            <w:tcW w:w="2193" w:type="dxa"/>
            <w:vAlign w:val="center"/>
          </w:tcPr>
          <w:p w14:paraId="0AF0B06A">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eastAsia="zh-CN"/>
              </w:rPr>
            </w:pPr>
            <w:r>
              <w:rPr>
                <w:rFonts w:hint="eastAsia"/>
                <w:color w:val="auto"/>
                <w:sz w:val="22"/>
                <w:szCs w:val="22"/>
                <w:highlight w:val="none"/>
                <w:lang w:eastAsia="zh-CN"/>
              </w:rPr>
              <w:t>装订包封要求</w:t>
            </w:r>
          </w:p>
        </w:tc>
        <w:tc>
          <w:tcPr>
            <w:tcW w:w="6347" w:type="dxa"/>
            <w:vAlign w:val="center"/>
          </w:tcPr>
          <w:p w14:paraId="78587EFE">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响应文件胶装，按商务技术文件正副本和报价文件正副本分成两个密封袋封装，封口处须密封并加盖企业公章。</w:t>
            </w:r>
          </w:p>
          <w:p w14:paraId="61B7B61A">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default" w:ascii="宋体" w:hAnsi="宋体" w:eastAsia="宋体" w:cs="宋体"/>
                <w:b/>
                <w:bCs w:val="0"/>
                <w:color w:val="auto"/>
                <w:kern w:val="2"/>
                <w:sz w:val="22"/>
                <w:szCs w:val="22"/>
                <w:highlight w:val="none"/>
                <w:lang w:val="en-US" w:eastAsia="zh-CN" w:bidi="ar"/>
              </w:rPr>
            </w:pPr>
            <w:r>
              <w:rPr>
                <w:rFonts w:hint="eastAsia" w:cs="宋体"/>
                <w:b/>
                <w:bCs w:val="0"/>
                <w:color w:val="auto"/>
                <w:kern w:val="2"/>
                <w:sz w:val="22"/>
                <w:szCs w:val="22"/>
                <w:highlight w:val="yellow"/>
                <w:lang w:val="en-US" w:eastAsia="zh-CN" w:bidi="ar"/>
              </w:rPr>
              <w:t>在商务技术文件密封袋内必须同时用U盘放盖章版商务技术文件的扫描件一份（PDF版），在报价文件密封袋内用U盘放报价文件扫描件一份(PDF版)和报价清单电子版一份(EXCEL版)；如启封发现上述资料未放齐的，视为形式评审不合格，取消资格。</w:t>
            </w:r>
          </w:p>
        </w:tc>
      </w:tr>
      <w:tr w14:paraId="0190C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5DA0C3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24</w:t>
            </w:r>
          </w:p>
        </w:tc>
        <w:tc>
          <w:tcPr>
            <w:tcW w:w="2193" w:type="dxa"/>
            <w:vAlign w:val="center"/>
          </w:tcPr>
          <w:p w14:paraId="70FB95C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文件密封形式</w:t>
            </w:r>
          </w:p>
        </w:tc>
        <w:tc>
          <w:tcPr>
            <w:tcW w:w="6347" w:type="dxa"/>
            <w:vAlign w:val="center"/>
          </w:tcPr>
          <w:p w14:paraId="45217707">
            <w:pPr>
              <w:keepNext w:val="0"/>
              <w:keepLines w:val="0"/>
              <w:suppressLineNumbers w:val="0"/>
              <w:spacing w:before="0" w:beforeAutospacing="0" w:after="0" w:afterAutospacing="0"/>
              <w:ind w:left="0" w:right="0"/>
              <w:rPr>
                <w:rFonts w:hint="default"/>
                <w:color w:val="auto"/>
                <w:sz w:val="22"/>
                <w:szCs w:val="22"/>
                <w:highlight w:val="none"/>
              </w:rPr>
            </w:pPr>
            <w:r>
              <w:rPr>
                <w:rFonts w:hint="eastAsia" w:ascii="宋体" w:hAnsi="宋体" w:cs="宋体"/>
                <w:color w:val="auto"/>
                <w:sz w:val="22"/>
                <w:szCs w:val="22"/>
                <w:highlight w:val="none"/>
                <w:lang w:eastAsia="zh-CN"/>
              </w:rPr>
              <w:t>□</w:t>
            </w:r>
            <w:r>
              <w:rPr>
                <w:rFonts w:hint="default"/>
                <w:color w:val="auto"/>
                <w:sz w:val="22"/>
                <w:szCs w:val="22"/>
                <w:highlight w:val="none"/>
              </w:rPr>
              <w:t>单信封</w:t>
            </w:r>
          </w:p>
          <w:p w14:paraId="1F243CDF">
            <w:pPr>
              <w:keepNext w:val="0"/>
              <w:keepLines w:val="0"/>
              <w:suppressLineNumbers w:val="0"/>
              <w:spacing w:before="0" w:beforeAutospacing="0" w:after="0" w:afterAutospacing="0"/>
              <w:ind w:left="0" w:right="0"/>
              <w:rPr>
                <w:rFonts w:hint="default"/>
                <w:color w:val="auto"/>
                <w:sz w:val="22"/>
                <w:szCs w:val="22"/>
                <w:highlight w:val="none"/>
              </w:rPr>
            </w:pPr>
            <w:r>
              <w:rPr>
                <w:rFonts w:hint="eastAsia"/>
                <w:color w:val="auto"/>
                <w:sz w:val="22"/>
                <w:szCs w:val="22"/>
                <w:highlight w:val="none"/>
              </w:rPr>
              <w:sym w:font="Wingdings" w:char="00FE"/>
            </w:r>
            <w:r>
              <w:rPr>
                <w:rFonts w:hint="default"/>
                <w:color w:val="auto"/>
                <w:sz w:val="22"/>
                <w:szCs w:val="22"/>
                <w:highlight w:val="none"/>
              </w:rPr>
              <w:t>双信封</w:t>
            </w:r>
          </w:p>
        </w:tc>
      </w:tr>
      <w:tr w14:paraId="5D9799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F7EE91E">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25</w:t>
            </w:r>
          </w:p>
        </w:tc>
        <w:tc>
          <w:tcPr>
            <w:tcW w:w="2193" w:type="dxa"/>
            <w:vAlign w:val="center"/>
          </w:tcPr>
          <w:p w14:paraId="5880563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增值税税金的计算方法</w:t>
            </w:r>
          </w:p>
        </w:tc>
        <w:tc>
          <w:tcPr>
            <w:tcW w:w="6347" w:type="dxa"/>
            <w:vAlign w:val="center"/>
          </w:tcPr>
          <w:p w14:paraId="7DDF358E">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报价为含税价，税率</w:t>
            </w:r>
            <w:r>
              <w:rPr>
                <w:rFonts w:hint="eastAsia"/>
                <w:color w:val="auto"/>
                <w:sz w:val="22"/>
                <w:szCs w:val="22"/>
                <w:highlight w:val="none"/>
              </w:rPr>
              <w:t>按</w:t>
            </w:r>
            <w:r>
              <w:rPr>
                <w:rFonts w:hint="default"/>
                <w:color w:val="auto"/>
                <w:sz w:val="22"/>
                <w:szCs w:val="22"/>
                <w:highlight w:val="none"/>
              </w:rPr>
              <w:t>税法规定的一般纳税人计算</w:t>
            </w:r>
            <w:r>
              <w:rPr>
                <w:rFonts w:hint="eastAsia"/>
                <w:color w:val="auto"/>
                <w:sz w:val="22"/>
                <w:szCs w:val="22"/>
                <w:highlight w:val="none"/>
              </w:rPr>
              <w:t>，并执行国家最新税率标准</w:t>
            </w:r>
            <w:r>
              <w:rPr>
                <w:rFonts w:hint="default"/>
                <w:color w:val="auto"/>
                <w:sz w:val="22"/>
                <w:szCs w:val="22"/>
                <w:highlight w:val="none"/>
              </w:rPr>
              <w:t>。承包人应提供增值税专用发票。</w:t>
            </w:r>
          </w:p>
        </w:tc>
      </w:tr>
      <w:tr w14:paraId="29329A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B58181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26</w:t>
            </w:r>
          </w:p>
        </w:tc>
        <w:tc>
          <w:tcPr>
            <w:tcW w:w="2193" w:type="dxa"/>
            <w:vAlign w:val="center"/>
          </w:tcPr>
          <w:p w14:paraId="582BBC50">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最高</w:t>
            </w:r>
            <w:r>
              <w:rPr>
                <w:rFonts w:hint="eastAsia"/>
                <w:color w:val="auto"/>
                <w:sz w:val="22"/>
                <w:szCs w:val="22"/>
                <w:highlight w:val="none"/>
                <w:lang w:eastAsia="zh-CN"/>
              </w:rPr>
              <w:t>响应</w:t>
            </w:r>
            <w:r>
              <w:rPr>
                <w:rFonts w:hint="default"/>
                <w:color w:val="auto"/>
                <w:sz w:val="22"/>
                <w:szCs w:val="22"/>
                <w:highlight w:val="none"/>
              </w:rPr>
              <w:t>限价</w:t>
            </w:r>
          </w:p>
        </w:tc>
        <w:tc>
          <w:tcPr>
            <w:tcW w:w="6347" w:type="dxa"/>
            <w:vAlign w:val="center"/>
          </w:tcPr>
          <w:p w14:paraId="1EA94294">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
                <w:bCs/>
                <w:color w:val="auto"/>
                <w:sz w:val="22"/>
                <w:szCs w:val="22"/>
                <w:highlight w:val="none"/>
              </w:rPr>
              <w:t>最高</w:t>
            </w:r>
            <w:r>
              <w:rPr>
                <w:rFonts w:hint="eastAsia"/>
                <w:b/>
                <w:bCs/>
                <w:color w:val="auto"/>
                <w:sz w:val="22"/>
                <w:szCs w:val="22"/>
                <w:highlight w:val="none"/>
                <w:lang w:val="en-US" w:eastAsia="zh-CN"/>
              </w:rPr>
              <w:t>响应</w:t>
            </w:r>
            <w:r>
              <w:rPr>
                <w:rFonts w:hint="default"/>
                <w:b/>
                <w:bCs/>
                <w:color w:val="auto"/>
                <w:sz w:val="22"/>
                <w:szCs w:val="22"/>
                <w:highlight w:val="none"/>
              </w:rPr>
              <w:t>限价人民币:详见采购公告。</w:t>
            </w:r>
          </w:p>
        </w:tc>
      </w:tr>
      <w:tr w14:paraId="4E0E1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40F1FA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27</w:t>
            </w:r>
          </w:p>
        </w:tc>
        <w:tc>
          <w:tcPr>
            <w:tcW w:w="2193" w:type="dxa"/>
            <w:vAlign w:val="center"/>
          </w:tcPr>
          <w:p w14:paraId="16378D1F">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报价的其他要求</w:t>
            </w:r>
          </w:p>
        </w:tc>
        <w:tc>
          <w:tcPr>
            <w:tcW w:w="6347" w:type="dxa"/>
            <w:vAlign w:val="center"/>
          </w:tcPr>
          <w:p w14:paraId="0AF8660C">
            <w:pPr>
              <w:keepNext w:val="0"/>
              <w:keepLines w:val="0"/>
              <w:suppressLineNumbers w:val="0"/>
              <w:spacing w:before="0" w:beforeAutospacing="0" w:after="0" w:afterAutospacing="0"/>
              <w:ind w:left="0" w:right="42" w:rightChars="20"/>
              <w:rPr>
                <w:rFonts w:hint="default"/>
                <w:color w:val="auto"/>
                <w:sz w:val="22"/>
                <w:szCs w:val="22"/>
                <w:highlight w:val="none"/>
              </w:rPr>
            </w:pPr>
            <w:r>
              <w:rPr>
                <w:rFonts w:hint="eastAsia"/>
                <w:color w:val="auto"/>
                <w:sz w:val="22"/>
                <w:szCs w:val="22"/>
                <w:highlight w:val="none"/>
                <w:lang w:val="en-US" w:eastAsia="zh-CN"/>
              </w:rPr>
              <w:t>详见报价清单要求</w:t>
            </w:r>
            <w:r>
              <w:rPr>
                <w:rFonts w:hint="default"/>
                <w:color w:val="auto"/>
                <w:sz w:val="22"/>
                <w:szCs w:val="22"/>
                <w:highlight w:val="none"/>
              </w:rPr>
              <w:t>。</w:t>
            </w:r>
          </w:p>
        </w:tc>
      </w:tr>
      <w:tr w14:paraId="0E0291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5ADE76F6">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28</w:t>
            </w:r>
          </w:p>
        </w:tc>
        <w:tc>
          <w:tcPr>
            <w:tcW w:w="2193" w:type="dxa"/>
            <w:vAlign w:val="center"/>
          </w:tcPr>
          <w:p w14:paraId="44F8D6CA">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eastAsia="zh-CN"/>
              </w:rPr>
              <w:t>响应</w:t>
            </w:r>
            <w:r>
              <w:rPr>
                <w:rFonts w:hint="default"/>
                <w:color w:val="auto"/>
                <w:sz w:val="22"/>
                <w:szCs w:val="22"/>
                <w:highlight w:val="none"/>
              </w:rPr>
              <w:t>报价</w:t>
            </w:r>
            <w:r>
              <w:rPr>
                <w:rFonts w:hint="eastAsia"/>
                <w:color w:val="auto"/>
                <w:sz w:val="22"/>
                <w:szCs w:val="22"/>
                <w:highlight w:val="none"/>
                <w:lang w:val="en-US" w:eastAsia="zh-CN"/>
              </w:rPr>
              <w:t>清单工程量</w:t>
            </w:r>
          </w:p>
        </w:tc>
        <w:tc>
          <w:tcPr>
            <w:tcW w:w="6347" w:type="dxa"/>
            <w:vAlign w:val="center"/>
          </w:tcPr>
          <w:p w14:paraId="2E04A5FB">
            <w:pPr>
              <w:keepNext w:val="0"/>
              <w:keepLines w:val="0"/>
              <w:suppressLineNumbers w:val="0"/>
              <w:spacing w:before="0" w:beforeAutospacing="0" w:after="0" w:afterAutospacing="0"/>
              <w:ind w:left="0" w:right="42" w:rightChars="20"/>
              <w:rPr>
                <w:rFonts w:hint="default"/>
                <w:color w:val="auto"/>
                <w:sz w:val="22"/>
                <w:szCs w:val="22"/>
                <w:highlight w:val="none"/>
                <w:lang w:val="en-US" w:eastAsia="zh-CN"/>
              </w:rPr>
            </w:pPr>
            <w:r>
              <w:rPr>
                <w:rFonts w:hint="eastAsia"/>
                <w:b/>
                <w:bCs/>
                <w:color w:val="auto"/>
                <w:sz w:val="22"/>
                <w:szCs w:val="22"/>
                <w:highlight w:val="none"/>
                <w:lang w:val="en-US" w:eastAsia="zh-CN"/>
              </w:rPr>
              <w:t>根据甲方确认的终期结算单据实结算。</w:t>
            </w:r>
          </w:p>
        </w:tc>
      </w:tr>
      <w:tr w14:paraId="21ADD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FDE4F9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29</w:t>
            </w:r>
          </w:p>
        </w:tc>
        <w:tc>
          <w:tcPr>
            <w:tcW w:w="2193" w:type="dxa"/>
            <w:vAlign w:val="center"/>
          </w:tcPr>
          <w:p w14:paraId="06E1A019">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有效期</w:t>
            </w:r>
          </w:p>
        </w:tc>
        <w:tc>
          <w:tcPr>
            <w:tcW w:w="6347" w:type="dxa"/>
            <w:vAlign w:val="center"/>
          </w:tcPr>
          <w:p w14:paraId="728124D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自</w:t>
            </w:r>
            <w:r>
              <w:rPr>
                <w:rFonts w:hint="eastAsia"/>
                <w:color w:val="auto"/>
                <w:sz w:val="22"/>
                <w:szCs w:val="22"/>
                <w:highlight w:val="none"/>
                <w:lang w:eastAsia="zh-CN"/>
              </w:rPr>
              <w:t>供应商</w:t>
            </w:r>
            <w:r>
              <w:rPr>
                <w:rFonts w:hint="default"/>
                <w:color w:val="auto"/>
                <w:sz w:val="22"/>
                <w:szCs w:val="22"/>
                <w:highlight w:val="none"/>
              </w:rPr>
              <w:t>提交</w:t>
            </w:r>
            <w:r>
              <w:rPr>
                <w:rFonts w:hint="eastAsia"/>
                <w:color w:val="auto"/>
                <w:sz w:val="22"/>
                <w:szCs w:val="22"/>
                <w:highlight w:val="none"/>
                <w:lang w:val="en-US" w:eastAsia="zh-CN"/>
              </w:rPr>
              <w:t>响应</w:t>
            </w:r>
            <w:r>
              <w:rPr>
                <w:rFonts w:hint="default"/>
                <w:color w:val="auto"/>
                <w:sz w:val="22"/>
                <w:szCs w:val="22"/>
                <w:highlight w:val="none"/>
              </w:rPr>
              <w:t>文件截止之日起计算</w:t>
            </w:r>
            <w:r>
              <w:rPr>
                <w:rFonts w:hint="eastAsia"/>
                <w:color w:val="auto"/>
                <w:sz w:val="22"/>
                <w:szCs w:val="22"/>
                <w:highlight w:val="none"/>
                <w:u w:val="single"/>
                <w:lang w:val="en-US" w:eastAsia="zh-CN"/>
              </w:rPr>
              <w:t>90</w:t>
            </w:r>
            <w:r>
              <w:rPr>
                <w:rFonts w:hint="eastAsia"/>
                <w:color w:val="auto"/>
                <w:sz w:val="22"/>
                <w:szCs w:val="22"/>
                <w:highlight w:val="none"/>
                <w:u w:val="single"/>
              </w:rPr>
              <w:t>日</w:t>
            </w:r>
          </w:p>
        </w:tc>
      </w:tr>
      <w:tr w14:paraId="1ADD1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556433C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30</w:t>
            </w:r>
          </w:p>
        </w:tc>
        <w:tc>
          <w:tcPr>
            <w:tcW w:w="2193" w:type="dxa"/>
            <w:vAlign w:val="center"/>
          </w:tcPr>
          <w:p w14:paraId="237FFB0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保证金</w:t>
            </w:r>
          </w:p>
        </w:tc>
        <w:tc>
          <w:tcPr>
            <w:tcW w:w="6347" w:type="dxa"/>
            <w:vAlign w:val="center"/>
          </w:tcPr>
          <w:p w14:paraId="0E2C1FF3">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w:t>
            </w:r>
          </w:p>
          <w:p w14:paraId="37AC5517">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不要求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w:t>
            </w:r>
          </w:p>
          <w:p w14:paraId="3C5EBD8E">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保证金的形式：第一类：</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银行转账</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银行电汇  </w:t>
            </w:r>
          </w:p>
          <w:p w14:paraId="70981002">
            <w:pPr>
              <w:pStyle w:val="6"/>
              <w:keepNext w:val="0"/>
              <w:keepLines w:val="0"/>
              <w:suppressLineNumbers w:val="0"/>
              <w:spacing w:before="0" w:beforeAutospacing="0" w:after="0" w:afterAutospacing="0"/>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响应保证金的金额:详见采购公告。</w:t>
            </w:r>
          </w:p>
          <w:p w14:paraId="5989D34F">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递交要求： </w:t>
            </w:r>
          </w:p>
          <w:p w14:paraId="141E8548">
            <w:pPr>
              <w:pStyle w:val="6"/>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①</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保证金的到账截止时间：</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截止时间。</w:t>
            </w:r>
          </w:p>
          <w:p w14:paraId="1D8317AE">
            <w:pPr>
              <w:pStyle w:val="6"/>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②供应商银行账户汇入到上述账户，采购人不接受以个人名义或以现金形式提交的响应保证金。</w:t>
            </w:r>
          </w:p>
          <w:p w14:paraId="77018E5A">
            <w:pPr>
              <w:pStyle w:val="6"/>
              <w:keepNext w:val="0"/>
              <w:keepLines w:val="0"/>
              <w:suppressLineNumbers w:val="0"/>
              <w:spacing w:before="0" w:beforeAutospacing="0" w:after="0" w:afterAutospacing="0"/>
              <w:ind w:left="0" w:right="0"/>
              <w:rPr>
                <w:rFonts w:hint="eastAsia" w:eastAsia="宋体"/>
                <w:color w:val="auto"/>
                <w:sz w:val="22"/>
                <w:szCs w:val="22"/>
                <w:highlight w:val="none"/>
                <w:u w:val="single"/>
                <w:lang w:eastAsia="zh-CN"/>
              </w:rPr>
            </w:pPr>
            <w:r>
              <w:rPr>
                <w:rFonts w:hint="eastAsia" w:eastAsia="宋体"/>
                <w:color w:val="auto"/>
                <w:sz w:val="22"/>
                <w:szCs w:val="22"/>
                <w:highlight w:val="none"/>
                <w:u w:val="none"/>
                <w:lang w:eastAsia="zh-CN"/>
              </w:rPr>
              <w:t>③转入的开户银行及账号见本项目采购公告所示。</w:t>
            </w:r>
          </w:p>
        </w:tc>
      </w:tr>
      <w:tr w14:paraId="35FCB0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B991FB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31</w:t>
            </w:r>
          </w:p>
        </w:tc>
        <w:tc>
          <w:tcPr>
            <w:tcW w:w="2193" w:type="dxa"/>
            <w:vAlign w:val="center"/>
          </w:tcPr>
          <w:p w14:paraId="4FDF85F2">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其他可以不予退还</w:t>
            </w:r>
            <w:r>
              <w:rPr>
                <w:rFonts w:hint="eastAsia"/>
                <w:color w:val="auto"/>
                <w:sz w:val="22"/>
                <w:szCs w:val="22"/>
                <w:highlight w:val="none"/>
                <w:lang w:val="en-US" w:eastAsia="zh-CN"/>
              </w:rPr>
              <w:t>响应</w:t>
            </w:r>
            <w:r>
              <w:rPr>
                <w:rFonts w:hint="default"/>
                <w:color w:val="auto"/>
                <w:sz w:val="22"/>
                <w:szCs w:val="22"/>
                <w:highlight w:val="none"/>
              </w:rPr>
              <w:t>保证金的情形</w:t>
            </w:r>
          </w:p>
        </w:tc>
        <w:tc>
          <w:tcPr>
            <w:tcW w:w="6347" w:type="dxa"/>
            <w:vAlign w:val="center"/>
          </w:tcPr>
          <w:p w14:paraId="6620DF5C">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1</w:t>
            </w:r>
            <w:r>
              <w:rPr>
                <w:rFonts w:hint="default"/>
                <w:color w:val="auto"/>
                <w:sz w:val="22"/>
                <w:szCs w:val="22"/>
                <w:highlight w:val="none"/>
              </w:rPr>
              <w:t>）</w:t>
            </w:r>
            <w:r>
              <w:rPr>
                <w:rFonts w:hint="eastAsia"/>
                <w:color w:val="auto"/>
                <w:sz w:val="22"/>
                <w:szCs w:val="22"/>
                <w:highlight w:val="none"/>
                <w:lang w:val="en-US" w:eastAsia="zh-CN"/>
              </w:rPr>
              <w:t>成交</w:t>
            </w:r>
            <w:r>
              <w:rPr>
                <w:rFonts w:hint="default"/>
                <w:color w:val="auto"/>
                <w:sz w:val="22"/>
                <w:szCs w:val="22"/>
                <w:highlight w:val="none"/>
              </w:rPr>
              <w:t>候选人放弃</w:t>
            </w:r>
            <w:r>
              <w:rPr>
                <w:rFonts w:hint="eastAsia"/>
                <w:color w:val="auto"/>
                <w:sz w:val="22"/>
                <w:szCs w:val="22"/>
                <w:highlight w:val="none"/>
                <w:lang w:val="en-US" w:eastAsia="zh-CN"/>
              </w:rPr>
              <w:t>成交</w:t>
            </w:r>
            <w:r>
              <w:rPr>
                <w:rFonts w:hint="default"/>
                <w:color w:val="auto"/>
                <w:sz w:val="22"/>
                <w:szCs w:val="22"/>
                <w:highlight w:val="none"/>
              </w:rPr>
              <w:t>候选人资格；</w:t>
            </w:r>
          </w:p>
          <w:p w14:paraId="6CAADF5F">
            <w:pPr>
              <w:keepNext w:val="0"/>
              <w:keepLines w:val="0"/>
              <w:suppressLineNumbers w:val="0"/>
              <w:snapToGrid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default"/>
                <w:color w:val="auto"/>
                <w:sz w:val="22"/>
                <w:szCs w:val="22"/>
                <w:highlight w:val="none"/>
              </w:rPr>
              <w:t>（</w:t>
            </w:r>
            <w:r>
              <w:rPr>
                <w:rFonts w:hint="eastAsia"/>
                <w:color w:val="auto"/>
                <w:sz w:val="22"/>
                <w:szCs w:val="22"/>
                <w:highlight w:val="none"/>
                <w:lang w:val="en-US" w:eastAsia="zh-CN"/>
              </w:rPr>
              <w:t>2</w:t>
            </w:r>
            <w:r>
              <w:rPr>
                <w:rFonts w:hint="default"/>
                <w:color w:val="auto"/>
                <w:sz w:val="22"/>
                <w:szCs w:val="22"/>
                <w:highlight w:val="none"/>
              </w:rPr>
              <w:t>）</w:t>
            </w:r>
            <w:r>
              <w:rPr>
                <w:rFonts w:hint="eastAsia"/>
                <w:color w:val="auto"/>
                <w:sz w:val="22"/>
                <w:szCs w:val="22"/>
                <w:highlight w:val="none"/>
                <w:lang w:eastAsia="zh-CN"/>
              </w:rPr>
              <w:t>供应商</w:t>
            </w:r>
            <w:r>
              <w:rPr>
                <w:rFonts w:hint="default"/>
                <w:color w:val="auto"/>
                <w:sz w:val="22"/>
                <w:szCs w:val="22"/>
                <w:highlight w:val="none"/>
              </w:rPr>
              <w:t>在</w:t>
            </w:r>
            <w:r>
              <w:rPr>
                <w:rFonts w:hint="eastAsia"/>
                <w:color w:val="auto"/>
                <w:sz w:val="22"/>
                <w:szCs w:val="22"/>
                <w:highlight w:val="none"/>
                <w:lang w:val="en-US" w:eastAsia="zh-CN"/>
              </w:rPr>
              <w:t>响应</w:t>
            </w:r>
            <w:r>
              <w:rPr>
                <w:rFonts w:hint="default"/>
                <w:color w:val="auto"/>
                <w:sz w:val="22"/>
                <w:szCs w:val="22"/>
                <w:highlight w:val="none"/>
              </w:rPr>
              <w:t>过程中存在弄虚作假、与</w:t>
            </w:r>
            <w:r>
              <w:rPr>
                <w:rFonts w:hint="eastAsia"/>
                <w:color w:val="auto"/>
                <w:sz w:val="22"/>
                <w:szCs w:val="22"/>
                <w:highlight w:val="none"/>
                <w:lang w:eastAsia="zh-CN"/>
              </w:rPr>
              <w:t>采购人</w:t>
            </w:r>
            <w:r>
              <w:rPr>
                <w:rFonts w:hint="default"/>
                <w:color w:val="auto"/>
                <w:sz w:val="22"/>
                <w:szCs w:val="22"/>
                <w:highlight w:val="none"/>
              </w:rPr>
              <w:t>或者其他</w:t>
            </w:r>
            <w:r>
              <w:rPr>
                <w:rFonts w:hint="eastAsia"/>
                <w:color w:val="auto"/>
                <w:sz w:val="22"/>
                <w:szCs w:val="22"/>
                <w:highlight w:val="none"/>
                <w:lang w:eastAsia="zh-CN"/>
              </w:rPr>
              <w:t>供应商</w:t>
            </w:r>
            <w:r>
              <w:rPr>
                <w:rFonts w:hint="default"/>
                <w:color w:val="auto"/>
                <w:sz w:val="22"/>
                <w:szCs w:val="22"/>
                <w:highlight w:val="none"/>
              </w:rPr>
              <w:t>串通</w:t>
            </w:r>
            <w:r>
              <w:rPr>
                <w:rFonts w:hint="eastAsia"/>
                <w:color w:val="auto"/>
                <w:sz w:val="22"/>
                <w:szCs w:val="22"/>
                <w:highlight w:val="none"/>
                <w:lang w:val="en-US" w:eastAsia="zh-CN"/>
              </w:rPr>
              <w:t>响应</w:t>
            </w:r>
            <w:r>
              <w:rPr>
                <w:rFonts w:hint="default"/>
                <w:color w:val="auto"/>
                <w:sz w:val="22"/>
                <w:szCs w:val="22"/>
                <w:highlight w:val="none"/>
              </w:rPr>
              <w:t>、以行贿谋取</w:t>
            </w:r>
            <w:r>
              <w:rPr>
                <w:rFonts w:hint="eastAsia"/>
                <w:color w:val="auto"/>
                <w:sz w:val="22"/>
                <w:szCs w:val="22"/>
                <w:highlight w:val="none"/>
                <w:lang w:val="en-US" w:eastAsia="zh-CN"/>
              </w:rPr>
              <w:t>成交</w:t>
            </w:r>
            <w:r>
              <w:rPr>
                <w:rFonts w:hint="default"/>
                <w:color w:val="auto"/>
                <w:sz w:val="22"/>
                <w:szCs w:val="22"/>
                <w:highlight w:val="none"/>
              </w:rPr>
              <w:t>、无正当理由放弃</w:t>
            </w:r>
            <w:r>
              <w:rPr>
                <w:rFonts w:hint="eastAsia"/>
                <w:color w:val="auto"/>
                <w:sz w:val="22"/>
                <w:szCs w:val="22"/>
                <w:highlight w:val="none"/>
                <w:lang w:val="en-US" w:eastAsia="zh-CN"/>
              </w:rPr>
              <w:t>成交</w:t>
            </w:r>
            <w:r>
              <w:rPr>
                <w:rFonts w:hint="default"/>
                <w:color w:val="auto"/>
                <w:sz w:val="22"/>
                <w:szCs w:val="22"/>
                <w:highlight w:val="none"/>
              </w:rPr>
              <w:t>以及进行恶意投诉等</w:t>
            </w:r>
            <w:r>
              <w:rPr>
                <w:rFonts w:hint="eastAsia"/>
                <w:color w:val="auto"/>
                <w:sz w:val="22"/>
                <w:szCs w:val="22"/>
                <w:highlight w:val="none"/>
                <w:lang w:val="en-US" w:eastAsia="zh-CN"/>
              </w:rPr>
              <w:t>响应</w:t>
            </w:r>
            <w:r>
              <w:rPr>
                <w:rFonts w:hint="default"/>
                <w:color w:val="auto"/>
                <w:sz w:val="22"/>
                <w:szCs w:val="22"/>
                <w:highlight w:val="none"/>
              </w:rPr>
              <w:t>不良行为的</w:t>
            </w:r>
            <w:r>
              <w:rPr>
                <w:rFonts w:hint="eastAsia"/>
                <w:color w:val="auto"/>
                <w:sz w:val="22"/>
                <w:szCs w:val="22"/>
                <w:highlight w:val="none"/>
                <w:lang w:eastAsia="zh-CN"/>
              </w:rPr>
              <w:t>；</w:t>
            </w:r>
          </w:p>
          <w:p w14:paraId="42EE89C8">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3</w:t>
            </w:r>
            <w:r>
              <w:rPr>
                <w:rFonts w:hint="default"/>
                <w:color w:val="auto"/>
                <w:sz w:val="22"/>
                <w:szCs w:val="22"/>
                <w:highlight w:val="none"/>
              </w:rPr>
              <w:t>）成交候选人无正当理由放弃成交资格的；或成交人无正当理由不与采购人签订合同的；或成交人在签订合同时向采购人提出附加条件或者更改合同实质性内容的；或者成交人不提交</w:t>
            </w:r>
            <w:r>
              <w:rPr>
                <w:rFonts w:hint="eastAsia"/>
                <w:color w:val="auto"/>
                <w:sz w:val="22"/>
                <w:szCs w:val="22"/>
                <w:highlight w:val="none"/>
                <w:lang w:eastAsia="zh-CN"/>
              </w:rPr>
              <w:t>采购文件</w:t>
            </w:r>
            <w:r>
              <w:rPr>
                <w:rFonts w:hint="default"/>
                <w:color w:val="auto"/>
                <w:sz w:val="22"/>
                <w:szCs w:val="22"/>
                <w:highlight w:val="none"/>
              </w:rPr>
              <w:t>所要求的履约保证金的</w:t>
            </w:r>
            <w:r>
              <w:rPr>
                <w:rFonts w:hint="eastAsia"/>
                <w:color w:val="auto"/>
                <w:sz w:val="22"/>
                <w:szCs w:val="22"/>
                <w:highlight w:val="none"/>
                <w:lang w:eastAsia="zh-CN"/>
              </w:rPr>
              <w:t>。</w:t>
            </w:r>
          </w:p>
        </w:tc>
      </w:tr>
      <w:tr w14:paraId="233B92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2285925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32</w:t>
            </w:r>
          </w:p>
        </w:tc>
        <w:tc>
          <w:tcPr>
            <w:tcW w:w="2193" w:type="dxa"/>
            <w:vAlign w:val="center"/>
          </w:tcPr>
          <w:p w14:paraId="69AAC43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资格审查资料的特殊要求</w:t>
            </w:r>
          </w:p>
        </w:tc>
        <w:tc>
          <w:tcPr>
            <w:tcW w:w="6347" w:type="dxa"/>
            <w:vAlign w:val="center"/>
          </w:tcPr>
          <w:p w14:paraId="6A4FA65B">
            <w:pPr>
              <w:keepNext w:val="0"/>
              <w:keepLines w:val="0"/>
              <w:suppressLineNumbers w:val="0"/>
              <w:spacing w:before="0" w:beforeAutospacing="0" w:after="0" w:afterAutospacing="0"/>
              <w:ind w:left="42" w:leftChars="20" w:right="42" w:rightChars="20" w:firstLine="2420" w:firstLineChars="1100"/>
              <w:jc w:val="both"/>
              <w:rPr>
                <w:rFonts w:hint="default"/>
                <w:color w:val="auto"/>
                <w:sz w:val="22"/>
                <w:szCs w:val="22"/>
                <w:highlight w:val="none"/>
              </w:rPr>
            </w:pPr>
            <w:r>
              <w:rPr>
                <w:rFonts w:hint="default"/>
                <w:color w:val="auto"/>
                <w:sz w:val="22"/>
                <w:szCs w:val="22"/>
                <w:highlight w:val="none"/>
              </w:rPr>
              <w:t>无</w:t>
            </w:r>
          </w:p>
        </w:tc>
      </w:tr>
      <w:tr w14:paraId="5063DE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B6DBF72">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33</w:t>
            </w:r>
          </w:p>
        </w:tc>
        <w:tc>
          <w:tcPr>
            <w:tcW w:w="2193" w:type="dxa"/>
            <w:vAlign w:val="center"/>
          </w:tcPr>
          <w:p w14:paraId="18F241E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近年财务状况的年份要求</w:t>
            </w:r>
          </w:p>
        </w:tc>
        <w:tc>
          <w:tcPr>
            <w:tcW w:w="6347" w:type="dxa"/>
            <w:vAlign w:val="center"/>
          </w:tcPr>
          <w:p w14:paraId="70A5CD33">
            <w:pPr>
              <w:keepNext w:val="0"/>
              <w:keepLines w:val="0"/>
              <w:suppressLineNumbers w:val="0"/>
              <w:spacing w:before="0" w:beforeAutospacing="0" w:after="0" w:afterAutospacing="0"/>
              <w:ind w:left="0" w:right="42" w:rightChars="20" w:firstLine="2420" w:firstLineChars="1100"/>
              <w:jc w:val="both"/>
              <w:rPr>
                <w:rFonts w:hint="eastAsia" w:ascii="宋体" w:hAnsi="宋体" w:eastAsia="宋体" w:cs="宋体"/>
                <w:color w:val="auto"/>
                <w:sz w:val="22"/>
                <w:szCs w:val="22"/>
                <w:highlight w:val="none"/>
                <w:lang w:eastAsia="zh-CN"/>
              </w:rPr>
            </w:pPr>
            <w:r>
              <w:rPr>
                <w:rFonts w:hint="eastAsia" w:ascii="宋体" w:hAnsi="宋体" w:cs="宋体"/>
                <w:bCs/>
                <w:color w:val="auto"/>
                <w:kern w:val="0"/>
                <w:sz w:val="22"/>
                <w:szCs w:val="22"/>
                <w:highlight w:val="none"/>
                <w:lang w:eastAsia="zh-CN" w:bidi="ar"/>
              </w:rPr>
              <w:t>无</w:t>
            </w:r>
          </w:p>
        </w:tc>
      </w:tr>
      <w:tr w14:paraId="16FFC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34FB9AE">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34</w:t>
            </w:r>
          </w:p>
        </w:tc>
        <w:tc>
          <w:tcPr>
            <w:tcW w:w="2193" w:type="dxa"/>
            <w:vAlign w:val="center"/>
          </w:tcPr>
          <w:p w14:paraId="6EEA1459">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近年完成的类似项目情况的时间要求</w:t>
            </w:r>
          </w:p>
        </w:tc>
        <w:tc>
          <w:tcPr>
            <w:tcW w:w="6347" w:type="dxa"/>
            <w:vAlign w:val="center"/>
          </w:tcPr>
          <w:p w14:paraId="15C9ADEC">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lang w:val="en-US" w:eastAsia="zh-CN"/>
              </w:rPr>
            </w:pPr>
            <w:r>
              <w:rPr>
                <w:rFonts w:hint="eastAsia" w:ascii="宋体" w:hAnsi="宋体" w:cs="宋体"/>
                <w:color w:val="auto"/>
                <w:sz w:val="22"/>
                <w:szCs w:val="22"/>
                <w:highlight w:val="none"/>
                <w:u w:val="single"/>
              </w:rPr>
              <w:t>20</w:t>
            </w:r>
            <w:r>
              <w:rPr>
                <w:rFonts w:hint="eastAsia" w:ascii="宋体" w:hAnsi="宋体" w:cs="宋体"/>
                <w:color w:val="auto"/>
                <w:sz w:val="22"/>
                <w:szCs w:val="22"/>
                <w:highlight w:val="none"/>
                <w:u w:val="single"/>
                <w:lang w:val="en-US" w:eastAsia="zh-CN"/>
              </w:rPr>
              <w:t>2</w:t>
            </w:r>
            <w:r>
              <w:rPr>
                <w:rFonts w:hint="eastAsia" w:cs="宋体"/>
                <w:color w:val="auto"/>
                <w:sz w:val="22"/>
                <w:szCs w:val="22"/>
                <w:highlight w:val="none"/>
                <w:u w:val="single"/>
                <w:lang w:val="en-US" w:eastAsia="zh-CN"/>
              </w:rPr>
              <w:t>2</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1</w:t>
            </w:r>
            <w:r>
              <w:rPr>
                <w:rFonts w:hint="eastAsia" w:ascii="宋体" w:hAnsi="宋体" w:cs="宋体"/>
                <w:color w:val="auto"/>
                <w:sz w:val="22"/>
                <w:szCs w:val="22"/>
                <w:highlight w:val="none"/>
              </w:rPr>
              <w:t>日</w:t>
            </w:r>
            <w:r>
              <w:rPr>
                <w:rFonts w:hint="default"/>
                <w:color w:val="auto"/>
                <w:sz w:val="22"/>
                <w:szCs w:val="22"/>
                <w:highlight w:val="none"/>
              </w:rPr>
              <w:t>至</w:t>
            </w:r>
            <w:r>
              <w:rPr>
                <w:rFonts w:hint="eastAsia"/>
                <w:color w:val="auto"/>
                <w:sz w:val="22"/>
                <w:szCs w:val="22"/>
                <w:highlight w:val="none"/>
                <w:lang w:val="en-US" w:eastAsia="zh-CN"/>
              </w:rPr>
              <w:t>响应</w:t>
            </w:r>
            <w:r>
              <w:rPr>
                <w:rFonts w:hint="default"/>
                <w:color w:val="auto"/>
                <w:sz w:val="22"/>
                <w:szCs w:val="22"/>
                <w:highlight w:val="none"/>
              </w:rPr>
              <w:t>截止时间</w:t>
            </w:r>
          </w:p>
        </w:tc>
      </w:tr>
      <w:tr w14:paraId="3B791B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72F44EB">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35</w:t>
            </w:r>
          </w:p>
        </w:tc>
        <w:tc>
          <w:tcPr>
            <w:tcW w:w="2193" w:type="dxa"/>
            <w:vAlign w:val="center"/>
          </w:tcPr>
          <w:p w14:paraId="4551E10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近年发生的诉讼及仲裁情况的时间要求</w:t>
            </w:r>
          </w:p>
        </w:tc>
        <w:tc>
          <w:tcPr>
            <w:tcW w:w="6347" w:type="dxa"/>
            <w:vAlign w:val="center"/>
          </w:tcPr>
          <w:p w14:paraId="668A9EEB">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u w:val="single"/>
                <w:lang w:eastAsia="zh-CN"/>
              </w:rPr>
            </w:pPr>
            <w:r>
              <w:rPr>
                <w:rFonts w:hint="eastAsia" w:ascii="宋体" w:hAnsi="宋体" w:cs="宋体"/>
                <w:color w:val="auto"/>
                <w:sz w:val="22"/>
                <w:szCs w:val="22"/>
                <w:highlight w:val="none"/>
                <w:u w:val="none"/>
              </w:rPr>
              <w:t xml:space="preserve"> </w:t>
            </w:r>
            <w:r>
              <w:rPr>
                <w:rFonts w:hint="eastAsia" w:ascii="宋体" w:hAnsi="宋体" w:cs="宋体"/>
                <w:color w:val="auto"/>
                <w:sz w:val="22"/>
                <w:szCs w:val="22"/>
                <w:highlight w:val="none"/>
                <w:u w:val="none"/>
                <w:lang w:eastAsia="zh-CN"/>
              </w:rPr>
              <w:t>无</w:t>
            </w:r>
          </w:p>
        </w:tc>
      </w:tr>
      <w:tr w14:paraId="2CFF53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3E11346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36</w:t>
            </w:r>
          </w:p>
        </w:tc>
        <w:tc>
          <w:tcPr>
            <w:tcW w:w="2193" w:type="dxa"/>
            <w:vAlign w:val="center"/>
          </w:tcPr>
          <w:p w14:paraId="2FA2D79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是否允许递交备选</w:t>
            </w:r>
            <w:r>
              <w:rPr>
                <w:rFonts w:hint="eastAsia"/>
                <w:color w:val="auto"/>
                <w:sz w:val="22"/>
                <w:szCs w:val="22"/>
                <w:highlight w:val="none"/>
                <w:lang w:val="en-US" w:eastAsia="zh-CN"/>
              </w:rPr>
              <w:t>响应</w:t>
            </w:r>
            <w:r>
              <w:rPr>
                <w:rFonts w:hint="default"/>
                <w:color w:val="auto"/>
                <w:sz w:val="22"/>
                <w:szCs w:val="22"/>
                <w:highlight w:val="none"/>
              </w:rPr>
              <w:t>方案</w:t>
            </w:r>
          </w:p>
        </w:tc>
        <w:tc>
          <w:tcPr>
            <w:tcW w:w="6347" w:type="dxa"/>
            <w:vAlign w:val="center"/>
          </w:tcPr>
          <w:p w14:paraId="4E2B87AA">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不允许</w:t>
            </w:r>
          </w:p>
        </w:tc>
      </w:tr>
      <w:tr w14:paraId="75AC71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78386F3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37</w:t>
            </w:r>
          </w:p>
        </w:tc>
        <w:tc>
          <w:tcPr>
            <w:tcW w:w="2193" w:type="dxa"/>
            <w:vAlign w:val="center"/>
          </w:tcPr>
          <w:p w14:paraId="17E07EF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是否退还</w:t>
            </w:r>
            <w:r>
              <w:rPr>
                <w:rFonts w:hint="eastAsia"/>
                <w:color w:val="auto"/>
                <w:sz w:val="22"/>
                <w:szCs w:val="22"/>
                <w:highlight w:val="none"/>
                <w:lang w:eastAsia="zh-CN"/>
              </w:rPr>
              <w:t>响应</w:t>
            </w:r>
            <w:r>
              <w:rPr>
                <w:rFonts w:hint="default"/>
                <w:color w:val="auto"/>
                <w:sz w:val="22"/>
                <w:szCs w:val="22"/>
                <w:highlight w:val="none"/>
              </w:rPr>
              <w:t>文件</w:t>
            </w:r>
          </w:p>
        </w:tc>
        <w:tc>
          <w:tcPr>
            <w:tcW w:w="6347" w:type="dxa"/>
            <w:vAlign w:val="center"/>
          </w:tcPr>
          <w:p w14:paraId="7D44261C">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ascii="宋体" w:hAnsi="宋体" w:cs="宋体"/>
                <w:color w:val="auto"/>
                <w:sz w:val="22"/>
                <w:szCs w:val="22"/>
                <w:highlight w:val="none"/>
              </w:rPr>
              <w:t>不予退还。</w:t>
            </w:r>
          </w:p>
        </w:tc>
      </w:tr>
      <w:tr w14:paraId="31E5B5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A0AFD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38</w:t>
            </w:r>
          </w:p>
        </w:tc>
        <w:tc>
          <w:tcPr>
            <w:tcW w:w="2193" w:type="dxa"/>
            <w:vAlign w:val="center"/>
          </w:tcPr>
          <w:p w14:paraId="3400F04E">
            <w:pPr>
              <w:keepNext w:val="0"/>
              <w:keepLines w:val="0"/>
              <w:suppressLineNumbers w:val="0"/>
              <w:spacing w:before="0" w:beforeAutospacing="0" w:after="0" w:afterAutospacing="0"/>
              <w:ind w:left="42" w:leftChars="20" w:right="42" w:rightChars="2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开标程序</w:t>
            </w:r>
          </w:p>
        </w:tc>
        <w:tc>
          <w:tcPr>
            <w:tcW w:w="6347" w:type="dxa"/>
            <w:vAlign w:val="center"/>
          </w:tcPr>
          <w:p w14:paraId="03E42639">
            <w:pPr>
              <w:keepNext w:val="0"/>
              <w:keepLines w:val="0"/>
              <w:suppressLineNumbers w:val="0"/>
              <w:spacing w:before="0" w:beforeAutospacing="0" w:after="0" w:afterAutospacing="0"/>
              <w:ind w:left="42" w:leftChars="20" w:right="42" w:rightChars="2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密封情况检查：宣布开标后，供应商代表互检响应文件密封及递交情况，并就检查结果明确意见。</w:t>
            </w:r>
          </w:p>
        </w:tc>
      </w:tr>
      <w:tr w14:paraId="518DF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30519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39</w:t>
            </w:r>
          </w:p>
        </w:tc>
        <w:tc>
          <w:tcPr>
            <w:tcW w:w="2193" w:type="dxa"/>
            <w:vAlign w:val="center"/>
          </w:tcPr>
          <w:p w14:paraId="76A20FCD">
            <w:pPr>
              <w:keepNext w:val="0"/>
              <w:keepLines w:val="0"/>
              <w:suppressLineNumbers w:val="0"/>
              <w:spacing w:before="0" w:beforeAutospacing="0" w:after="0" w:afterAutospacing="0"/>
              <w:ind w:left="42" w:leftChars="20" w:right="42" w:rightChars="20"/>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rPr>
              <w:t>评</w:t>
            </w:r>
            <w:r>
              <w:rPr>
                <w:rFonts w:hint="eastAsia" w:ascii="宋体" w:hAnsi="宋体" w:cs="宋体"/>
                <w:b/>
                <w:bCs/>
                <w:color w:val="auto"/>
                <w:sz w:val="22"/>
                <w:szCs w:val="22"/>
                <w:highlight w:val="none"/>
                <w:lang w:val="en-US" w:eastAsia="zh-CN"/>
              </w:rPr>
              <w:t>审</w:t>
            </w:r>
            <w:r>
              <w:rPr>
                <w:rFonts w:hint="eastAsia" w:ascii="宋体" w:hAnsi="宋体" w:cs="宋体"/>
                <w:b/>
                <w:bCs/>
                <w:color w:val="auto"/>
                <w:sz w:val="22"/>
                <w:szCs w:val="22"/>
                <w:highlight w:val="none"/>
              </w:rPr>
              <w:t>办法</w:t>
            </w:r>
          </w:p>
        </w:tc>
        <w:tc>
          <w:tcPr>
            <w:tcW w:w="6347" w:type="dxa"/>
            <w:vAlign w:val="center"/>
          </w:tcPr>
          <w:p w14:paraId="17FE8854">
            <w:pPr>
              <w:keepNext w:val="0"/>
              <w:keepLines w:val="0"/>
              <w:suppressLineNumbers w:val="0"/>
              <w:spacing w:before="0" w:beforeAutospacing="0" w:after="0" w:afterAutospacing="0"/>
              <w:ind w:left="42" w:leftChars="20" w:right="42" w:rightChars="2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技术评分最低价法</w:t>
            </w:r>
          </w:p>
        </w:tc>
      </w:tr>
      <w:tr w14:paraId="3F497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594" w:hRule="atLeast"/>
          <w:jc w:val="center"/>
        </w:trPr>
        <w:tc>
          <w:tcPr>
            <w:tcW w:w="827" w:type="dxa"/>
            <w:shd w:val="clear" w:color="auto" w:fill="auto"/>
            <w:vAlign w:val="center"/>
          </w:tcPr>
          <w:p w14:paraId="18B73A2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40</w:t>
            </w:r>
          </w:p>
        </w:tc>
        <w:tc>
          <w:tcPr>
            <w:tcW w:w="2193" w:type="dxa"/>
            <w:vAlign w:val="center"/>
          </w:tcPr>
          <w:p w14:paraId="740AC6D2">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开标时间和地点</w:t>
            </w:r>
          </w:p>
        </w:tc>
        <w:tc>
          <w:tcPr>
            <w:tcW w:w="6347" w:type="dxa"/>
            <w:vAlign w:val="center"/>
          </w:tcPr>
          <w:p w14:paraId="0AD4B8D1">
            <w:pPr>
              <w:keepNext w:val="0"/>
              <w:keepLines w:val="0"/>
              <w:suppressLineNumbers w:val="0"/>
              <w:spacing w:before="0" w:beforeAutospacing="0" w:after="0" w:afterAutospacing="0" w:line="300" w:lineRule="exact"/>
              <w:ind w:left="0" w:right="0"/>
              <w:rPr>
                <w:rFonts w:hint="default"/>
                <w:color w:val="auto"/>
                <w:sz w:val="22"/>
                <w:szCs w:val="22"/>
                <w:highlight w:val="none"/>
              </w:rPr>
            </w:pPr>
            <w:r>
              <w:rPr>
                <w:rFonts w:hint="eastAsia"/>
                <w:color w:val="auto"/>
                <w:sz w:val="22"/>
                <w:szCs w:val="22"/>
                <w:highlight w:val="none"/>
              </w:rPr>
              <w:t>见招标公告</w:t>
            </w:r>
          </w:p>
        </w:tc>
      </w:tr>
      <w:tr w14:paraId="4B6B9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2987E06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41</w:t>
            </w:r>
          </w:p>
        </w:tc>
        <w:tc>
          <w:tcPr>
            <w:tcW w:w="2193" w:type="dxa"/>
            <w:vAlign w:val="center"/>
          </w:tcPr>
          <w:p w14:paraId="2C11A17D">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的组建</w:t>
            </w:r>
          </w:p>
        </w:tc>
        <w:tc>
          <w:tcPr>
            <w:tcW w:w="6347" w:type="dxa"/>
            <w:vAlign w:val="center"/>
          </w:tcPr>
          <w:p w14:paraId="28CB9322">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构成：</w:t>
            </w:r>
            <w:r>
              <w:rPr>
                <w:rFonts w:hint="eastAsia"/>
                <w:color w:val="auto"/>
                <w:sz w:val="22"/>
                <w:szCs w:val="22"/>
                <w:highlight w:val="none"/>
                <w:u w:val="single"/>
                <w:lang w:val="en-US" w:eastAsia="zh-CN"/>
              </w:rPr>
              <w:t>3</w:t>
            </w:r>
            <w:r>
              <w:rPr>
                <w:rFonts w:hint="default"/>
                <w:color w:val="auto"/>
                <w:sz w:val="22"/>
                <w:szCs w:val="22"/>
                <w:highlight w:val="none"/>
              </w:rPr>
              <w:t>人</w:t>
            </w:r>
            <w:r>
              <w:rPr>
                <w:rFonts w:hint="eastAsia"/>
                <w:color w:val="auto"/>
                <w:sz w:val="22"/>
                <w:szCs w:val="22"/>
                <w:highlight w:val="none"/>
                <w:lang w:eastAsia="zh-CN"/>
              </w:rPr>
              <w:t>及以上单数</w:t>
            </w:r>
            <w:r>
              <w:rPr>
                <w:rFonts w:hint="default"/>
                <w:color w:val="auto"/>
                <w:sz w:val="22"/>
                <w:szCs w:val="22"/>
                <w:highlight w:val="none"/>
              </w:rPr>
              <w:t>；</w:t>
            </w:r>
          </w:p>
          <w:p w14:paraId="13ECC9B6">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评标专家确定方式：符合规定的评标专家库中随机抽取。</w:t>
            </w:r>
          </w:p>
        </w:tc>
      </w:tr>
      <w:tr w14:paraId="5D535D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DFF884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42</w:t>
            </w:r>
          </w:p>
        </w:tc>
        <w:tc>
          <w:tcPr>
            <w:tcW w:w="2193" w:type="dxa"/>
            <w:vAlign w:val="center"/>
          </w:tcPr>
          <w:p w14:paraId="751B857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推荐</w:t>
            </w:r>
            <w:r>
              <w:rPr>
                <w:rFonts w:hint="eastAsia"/>
                <w:color w:val="auto"/>
                <w:sz w:val="22"/>
                <w:szCs w:val="22"/>
                <w:highlight w:val="none"/>
                <w:lang w:val="en-US" w:eastAsia="zh-CN"/>
              </w:rPr>
              <w:t>成交</w:t>
            </w:r>
            <w:r>
              <w:rPr>
                <w:rFonts w:hint="default"/>
                <w:color w:val="auto"/>
                <w:sz w:val="22"/>
                <w:szCs w:val="22"/>
                <w:highlight w:val="none"/>
              </w:rPr>
              <w:t>候选人的人数</w:t>
            </w:r>
          </w:p>
        </w:tc>
        <w:tc>
          <w:tcPr>
            <w:tcW w:w="6347" w:type="dxa"/>
            <w:vAlign w:val="center"/>
          </w:tcPr>
          <w:p w14:paraId="1DCD0E0B">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rPr>
              <w:t>3名，</w:t>
            </w:r>
            <w:r>
              <w:rPr>
                <w:rFonts w:hint="default"/>
                <w:color w:val="auto"/>
                <w:sz w:val="22"/>
                <w:szCs w:val="22"/>
                <w:highlight w:val="none"/>
              </w:rPr>
              <w:t>如不足3人，按</w:t>
            </w:r>
            <w:r>
              <w:rPr>
                <w:rFonts w:hint="eastAsia"/>
                <w:color w:val="auto"/>
                <w:sz w:val="22"/>
                <w:szCs w:val="22"/>
                <w:highlight w:val="none"/>
              </w:rPr>
              <w:t>评标办法</w:t>
            </w:r>
            <w:r>
              <w:rPr>
                <w:rFonts w:hint="default"/>
                <w:color w:val="auto"/>
                <w:sz w:val="22"/>
                <w:szCs w:val="22"/>
                <w:highlight w:val="none"/>
              </w:rPr>
              <w:t>规定处理。</w:t>
            </w:r>
          </w:p>
        </w:tc>
      </w:tr>
      <w:tr w14:paraId="6BE9B2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78BD190">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43</w:t>
            </w:r>
          </w:p>
        </w:tc>
        <w:tc>
          <w:tcPr>
            <w:tcW w:w="2193" w:type="dxa"/>
            <w:vAlign w:val="center"/>
          </w:tcPr>
          <w:p w14:paraId="1D51F72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成交</w:t>
            </w:r>
            <w:r>
              <w:rPr>
                <w:rFonts w:hint="default"/>
                <w:color w:val="auto"/>
                <w:sz w:val="22"/>
                <w:szCs w:val="22"/>
                <w:highlight w:val="none"/>
              </w:rPr>
              <w:t>候选人公示媒介及期限</w:t>
            </w:r>
          </w:p>
        </w:tc>
        <w:tc>
          <w:tcPr>
            <w:tcW w:w="6347" w:type="dxa"/>
            <w:vAlign w:val="center"/>
          </w:tcPr>
          <w:p w14:paraId="61C35264">
            <w:pPr>
              <w:pStyle w:val="41"/>
              <w:keepNext w:val="0"/>
              <w:keepLines w:val="0"/>
              <w:suppressLineNumbers w:val="0"/>
              <w:wordWrap w:val="0"/>
              <w:snapToGrid w:val="0"/>
              <w:spacing w:before="107" w:beforeAutospacing="0" w:after="0" w:afterAutospacing="0"/>
              <w:ind w:left="42" w:leftChars="20" w:right="42" w:rightChars="20"/>
              <w:jc w:val="left"/>
              <w:rPr>
                <w:rFonts w:hint="default"/>
                <w:color w:val="auto"/>
                <w:sz w:val="22"/>
                <w:szCs w:val="22"/>
                <w:highlight w:val="none"/>
              </w:rPr>
            </w:pPr>
            <w:r>
              <w:rPr>
                <w:rFonts w:hint="eastAsia" w:ascii="宋体" w:hAnsi="宋体" w:eastAsia="宋体" w:cs="宋体"/>
                <w:color w:val="auto"/>
                <w:sz w:val="22"/>
                <w:szCs w:val="22"/>
                <w:highlight w:val="none"/>
              </w:rPr>
              <w:t>公示媒介：“安徽交控建设工程集团有限公司”（网址：www.ahjggroup.com）“招标公告”栏目</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c>
      </w:tr>
      <w:tr w14:paraId="053DDE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2D0FE58C">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44</w:t>
            </w:r>
          </w:p>
        </w:tc>
        <w:tc>
          <w:tcPr>
            <w:tcW w:w="2193" w:type="dxa"/>
            <w:vAlign w:val="center"/>
          </w:tcPr>
          <w:p w14:paraId="14756FE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是否授权评审小组确定</w:t>
            </w:r>
            <w:r>
              <w:rPr>
                <w:rFonts w:hint="eastAsia"/>
                <w:color w:val="auto"/>
                <w:sz w:val="22"/>
                <w:szCs w:val="22"/>
                <w:highlight w:val="none"/>
                <w:lang w:val="en-US" w:eastAsia="zh-CN"/>
              </w:rPr>
              <w:t>成交</w:t>
            </w:r>
            <w:r>
              <w:rPr>
                <w:rFonts w:hint="eastAsia"/>
                <w:color w:val="auto"/>
                <w:sz w:val="22"/>
                <w:szCs w:val="22"/>
                <w:highlight w:val="none"/>
                <w:lang w:eastAsia="zh-CN"/>
              </w:rPr>
              <w:t>人</w:t>
            </w:r>
          </w:p>
        </w:tc>
        <w:tc>
          <w:tcPr>
            <w:tcW w:w="6347" w:type="dxa"/>
            <w:vAlign w:val="center"/>
          </w:tcPr>
          <w:p w14:paraId="359E50CE">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否</w:t>
            </w:r>
          </w:p>
        </w:tc>
      </w:tr>
      <w:tr w14:paraId="2C67A1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42" w:hRule="atLeast"/>
          <w:jc w:val="center"/>
        </w:trPr>
        <w:tc>
          <w:tcPr>
            <w:tcW w:w="827" w:type="dxa"/>
            <w:shd w:val="clear" w:color="auto" w:fill="auto"/>
            <w:vAlign w:val="center"/>
          </w:tcPr>
          <w:p w14:paraId="07613BF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45</w:t>
            </w:r>
          </w:p>
        </w:tc>
        <w:tc>
          <w:tcPr>
            <w:tcW w:w="2193" w:type="dxa"/>
            <w:vAlign w:val="center"/>
          </w:tcPr>
          <w:p w14:paraId="49BDCCBD">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履约保证金</w:t>
            </w:r>
          </w:p>
        </w:tc>
        <w:tc>
          <w:tcPr>
            <w:tcW w:w="6347" w:type="dxa"/>
            <w:vAlign w:val="center"/>
          </w:tcPr>
          <w:p w14:paraId="78E7B841">
            <w:pPr>
              <w:keepNext w:val="0"/>
              <w:keepLines w:val="0"/>
              <w:suppressLineNumbers w:val="0"/>
              <w:spacing w:before="0" w:beforeLines="0" w:beforeAutospacing="0" w:after="0" w:afterLines="0" w:afterAutospacing="0" w:line="440" w:lineRule="exact"/>
              <w:ind w:left="0" w:right="0"/>
              <w:rPr>
                <w:rFonts w:hint="eastAsia"/>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成交公示后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合同签订前，乙方需向甲方支付合同总价2%的</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val="en-US" w:eastAsia="zh-CN"/>
              </w:rPr>
              <w:t>或提供合同总价5%的银行保函</w:t>
            </w:r>
            <w:r>
              <w:rPr>
                <w:rFonts w:hint="eastAsia" w:ascii="宋体" w:hAnsi="宋体" w:eastAsia="宋体" w:cs="宋体"/>
                <w:color w:val="auto"/>
                <w:szCs w:val="21"/>
                <w:highlight w:val="none"/>
              </w:rPr>
              <w:t>。</w:t>
            </w:r>
          </w:p>
          <w:p w14:paraId="40DED63E">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ascii="宋体" w:hAnsi="宋体" w:eastAsia="宋体" w:cs="宋体"/>
                <w:szCs w:val="21"/>
                <w:highlight w:val="none"/>
              </w:rPr>
              <w:t>（2）履约保证金退还时间：该项目物资供应整体验收完成后28天内。</w:t>
            </w:r>
          </w:p>
        </w:tc>
      </w:tr>
      <w:tr w14:paraId="5208B8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9" w:hRule="atLeast"/>
          <w:jc w:val="center"/>
        </w:trPr>
        <w:tc>
          <w:tcPr>
            <w:tcW w:w="827" w:type="dxa"/>
            <w:shd w:val="clear" w:color="auto" w:fill="auto"/>
            <w:vAlign w:val="center"/>
          </w:tcPr>
          <w:p w14:paraId="4E8F2C9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46</w:t>
            </w:r>
          </w:p>
        </w:tc>
        <w:tc>
          <w:tcPr>
            <w:tcW w:w="2193" w:type="dxa"/>
            <w:vAlign w:val="center"/>
          </w:tcPr>
          <w:p w14:paraId="6D6A6385">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val="en-US" w:eastAsia="zh-CN"/>
              </w:rPr>
              <w:t>监督部门</w:t>
            </w:r>
          </w:p>
        </w:tc>
        <w:tc>
          <w:tcPr>
            <w:tcW w:w="6347" w:type="dxa"/>
            <w:vAlign w:val="center"/>
          </w:tcPr>
          <w:p w14:paraId="7B68FC86">
            <w:pPr>
              <w:keepNext w:val="0"/>
              <w:keepLines w:val="0"/>
              <w:suppressLineNumbers w:val="0"/>
              <w:spacing w:before="0" w:beforeAutospacing="0" w:after="0" w:afterAutospacing="0" w:line="400" w:lineRule="exact"/>
              <w:ind w:left="0" w:right="0"/>
              <w:rPr>
                <w:rFonts w:hint="default" w:ascii="宋体" w:hAnsi="宋体" w:cs="宋体" w:eastAsiaTheme="minorEastAsia"/>
                <w:color w:val="auto"/>
                <w:sz w:val="22"/>
                <w:szCs w:val="22"/>
                <w:highlight w:val="none"/>
                <w:lang w:val="en-US" w:eastAsia="zh-CN"/>
              </w:rPr>
            </w:pPr>
            <w:r>
              <w:rPr>
                <w:rFonts w:hint="default"/>
                <w:color w:val="auto"/>
                <w:sz w:val="22"/>
                <w:szCs w:val="22"/>
                <w:highlight w:val="none"/>
              </w:rPr>
              <w:t>联系电话：0551-</w:t>
            </w:r>
            <w:r>
              <w:rPr>
                <w:rFonts w:hint="eastAsia"/>
                <w:color w:val="auto"/>
                <w:sz w:val="22"/>
                <w:szCs w:val="22"/>
                <w:highlight w:val="none"/>
                <w:lang w:val="en-US" w:eastAsia="zh-CN"/>
              </w:rPr>
              <w:t>62265211</w:t>
            </w:r>
          </w:p>
        </w:tc>
      </w:tr>
      <w:tr w14:paraId="2946D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7C36405">
            <w:pPr>
              <w:keepNext w:val="0"/>
              <w:keepLines w:val="0"/>
              <w:widowControl/>
              <w:suppressLineNumbers w:val="0"/>
              <w:spacing w:before="0" w:beforeAutospacing="0" w:after="0" w:afterAutospacing="0"/>
              <w:ind w:left="0" w:right="0"/>
              <w:jc w:val="center"/>
              <w:textAlignment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47</w:t>
            </w:r>
          </w:p>
        </w:tc>
        <w:tc>
          <w:tcPr>
            <w:tcW w:w="2193" w:type="dxa"/>
            <w:vAlign w:val="center"/>
          </w:tcPr>
          <w:p w14:paraId="0745336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是否采用电子</w:t>
            </w:r>
            <w:r>
              <w:rPr>
                <w:rFonts w:hint="eastAsia"/>
                <w:color w:val="auto"/>
                <w:sz w:val="22"/>
                <w:szCs w:val="22"/>
                <w:highlight w:val="none"/>
                <w:lang w:val="en-US" w:eastAsia="zh-CN"/>
              </w:rPr>
              <w:t>采购</w:t>
            </w:r>
          </w:p>
        </w:tc>
        <w:tc>
          <w:tcPr>
            <w:tcW w:w="6347" w:type="dxa"/>
            <w:vAlign w:val="center"/>
          </w:tcPr>
          <w:p w14:paraId="037A3440">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eastAsia" w:ascii="宋体" w:hAnsi="宋体" w:cs="宋体"/>
                <w:color w:val="auto"/>
                <w:sz w:val="22"/>
                <w:szCs w:val="22"/>
                <w:highlight w:val="none"/>
                <w:lang w:eastAsia="zh-CN"/>
              </w:rPr>
              <w:t>否</w:t>
            </w:r>
          </w:p>
        </w:tc>
      </w:tr>
      <w:tr w14:paraId="04AA9E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EA7F5DA">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8</w:t>
            </w:r>
          </w:p>
        </w:tc>
        <w:tc>
          <w:tcPr>
            <w:tcW w:w="2193" w:type="dxa"/>
            <w:shd w:val="clear" w:color="auto" w:fill="auto"/>
            <w:vAlign w:val="center"/>
          </w:tcPr>
          <w:p w14:paraId="49A4D265">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响应文件作否决处理情形</w:t>
            </w:r>
          </w:p>
        </w:tc>
        <w:tc>
          <w:tcPr>
            <w:tcW w:w="6347" w:type="dxa"/>
            <w:shd w:val="clear" w:color="auto" w:fill="auto"/>
            <w:vAlign w:val="center"/>
          </w:tcPr>
          <w:p w14:paraId="7E956487">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0379AD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6C3EDC7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9</w:t>
            </w:r>
          </w:p>
        </w:tc>
        <w:tc>
          <w:tcPr>
            <w:tcW w:w="2193" w:type="dxa"/>
            <w:shd w:val="clear" w:color="auto" w:fill="auto"/>
            <w:vAlign w:val="center"/>
          </w:tcPr>
          <w:p w14:paraId="143D2189">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kern w:val="0"/>
                <w:sz w:val="22"/>
                <w:szCs w:val="22"/>
                <w:highlight w:val="none"/>
                <w:lang w:bidi="ar"/>
              </w:rPr>
              <w:t>异常低价评审情形</w:t>
            </w:r>
          </w:p>
        </w:tc>
        <w:tc>
          <w:tcPr>
            <w:tcW w:w="6347" w:type="dxa"/>
            <w:shd w:val="clear" w:color="auto" w:fill="auto"/>
            <w:vAlign w:val="center"/>
          </w:tcPr>
          <w:p w14:paraId="1B07BA66">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2EEFD3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4ED376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1"/>
                <w:highlight w:val="none"/>
                <w:lang w:val="en-US" w:eastAsia="zh-CN" w:bidi="ar-SA"/>
              </w:rPr>
            </w:pPr>
            <w:r>
              <w:rPr>
                <w:rFonts w:hint="eastAsia" w:cstheme="minorBidi"/>
                <w:color w:val="auto"/>
                <w:kern w:val="2"/>
                <w:sz w:val="22"/>
                <w:szCs w:val="21"/>
                <w:highlight w:val="none"/>
                <w:lang w:val="en-US" w:eastAsia="zh-CN" w:bidi="ar-SA"/>
              </w:rPr>
              <w:t>50</w:t>
            </w:r>
          </w:p>
        </w:tc>
        <w:tc>
          <w:tcPr>
            <w:tcW w:w="2193" w:type="dxa"/>
            <w:shd w:val="clear" w:color="auto" w:fill="auto"/>
            <w:vAlign w:val="center"/>
          </w:tcPr>
          <w:p w14:paraId="01E4BD2E">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b/>
                <w:color w:val="auto"/>
                <w:kern w:val="0"/>
                <w:sz w:val="22"/>
                <w:szCs w:val="22"/>
                <w:highlight w:val="none"/>
                <w:lang w:val="en-US" w:eastAsia="zh-CN" w:bidi="ar"/>
              </w:rPr>
            </w:pPr>
            <w:r>
              <w:rPr>
                <w:rFonts w:hint="eastAsia" w:ascii="宋体" w:hAnsi="宋体" w:eastAsia="宋体" w:cs="宋体"/>
                <w:b/>
                <w:color w:val="auto"/>
                <w:kern w:val="0"/>
                <w:sz w:val="22"/>
                <w:szCs w:val="22"/>
                <w:highlight w:val="none"/>
                <w:lang w:val="en-US" w:eastAsia="zh-CN" w:bidi="ar"/>
              </w:rPr>
              <w:t>送样</w:t>
            </w:r>
          </w:p>
        </w:tc>
        <w:tc>
          <w:tcPr>
            <w:tcW w:w="6347" w:type="dxa"/>
            <w:shd w:val="clear" w:color="auto" w:fill="auto"/>
            <w:vAlign w:val="center"/>
          </w:tcPr>
          <w:p w14:paraId="7C90601F">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拟成交人须在采购人通知之日起5日内送样并经采购人确认、封样，如所送样品不符合产品要求或在供应过程中达不到采购人要求的： </w:t>
            </w:r>
          </w:p>
          <w:p w14:paraId="14B782ED">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1）采购人有权终止成交候选人资格，并没收响应保证金；按候选人公示顺延成交人或重新采购。 </w:t>
            </w:r>
          </w:p>
          <w:p w14:paraId="2402C797">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2）采购人有权终止合同，并依据合同规定追究法律责任。 </w:t>
            </w:r>
          </w:p>
          <w:p w14:paraId="3A749900">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3）采购人有权对拟成交人违约行为按照约定进行处罚。 </w:t>
            </w:r>
          </w:p>
          <w:p w14:paraId="76455339">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FF0000"/>
                <w:kern w:val="2"/>
                <w:sz w:val="22"/>
                <w:szCs w:val="22"/>
                <w:highlight w:val="none"/>
                <w:lang w:val="en-US" w:eastAsia="zh-CN" w:bidi="ar-SA"/>
              </w:rPr>
            </w:pPr>
            <w:r>
              <w:rPr>
                <w:rFonts w:hint="eastAsia" w:ascii="宋体" w:hAnsi="宋体" w:eastAsia="宋体" w:cs="宋体"/>
                <w:color w:val="auto"/>
                <w:sz w:val="22"/>
                <w:szCs w:val="22"/>
                <w:highlight w:val="yellow"/>
                <w:lang w:val="en-US" w:eastAsia="zh-CN"/>
              </w:rPr>
              <w:t>4）采购人有权将未完成的供货部分移交给第三方实施，供应商应无条件配合相关移交工作。</w:t>
            </w:r>
          </w:p>
        </w:tc>
      </w:tr>
      <w:tr w14:paraId="43637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649" w:hRule="atLeast"/>
          <w:jc w:val="center"/>
        </w:trPr>
        <w:tc>
          <w:tcPr>
            <w:tcW w:w="9367" w:type="dxa"/>
            <w:gridSpan w:val="3"/>
            <w:vAlign w:val="center"/>
          </w:tcPr>
          <w:p w14:paraId="6A3EA537">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default"/>
                <w:color w:val="auto"/>
                <w:sz w:val="22"/>
                <w:szCs w:val="22"/>
                <w:highlight w:val="none"/>
              </w:rPr>
              <w:t>需要补充的其他内容</w:t>
            </w:r>
          </w:p>
        </w:tc>
      </w:tr>
      <w:tr w14:paraId="77509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03D6774D">
            <w:pPr>
              <w:keepNext w:val="0"/>
              <w:keepLines w:val="0"/>
              <w:suppressLineNumbers w:val="0"/>
              <w:spacing w:before="0" w:beforeAutospacing="0" w:after="0" w:afterAutospacing="0" w:line="360" w:lineRule="auto"/>
              <w:ind w:left="0" w:leftChars="0" w:right="0" w:rightChars="0"/>
              <w:jc w:val="center"/>
              <w:rPr>
                <w:rFonts w:hint="default"/>
                <w:color w:val="auto"/>
                <w:sz w:val="22"/>
                <w:szCs w:val="22"/>
                <w:highlight w:val="none"/>
                <w:lang w:val="en-US"/>
              </w:rPr>
            </w:pPr>
            <w:r>
              <w:rPr>
                <w:rFonts w:hint="eastAsia"/>
                <w:color w:val="auto"/>
                <w:sz w:val="22"/>
                <w:szCs w:val="21"/>
                <w:highlight w:val="none"/>
                <w:lang w:val="en-US" w:eastAsia="zh-CN"/>
              </w:rPr>
              <w:t>51</w:t>
            </w:r>
          </w:p>
        </w:tc>
        <w:tc>
          <w:tcPr>
            <w:tcW w:w="8540" w:type="dxa"/>
            <w:gridSpan w:val="2"/>
            <w:vAlign w:val="center"/>
          </w:tcPr>
          <w:p w14:paraId="12EE7275">
            <w:pPr>
              <w:keepNext w:val="0"/>
              <w:keepLines w:val="0"/>
              <w:widowControl/>
              <w:suppressLineNumbers w:val="0"/>
              <w:shd w:val="clear" w:color="auto" w:fill="FFFFFF"/>
              <w:spacing w:before="0" w:beforeAutospacing="0" w:after="0" w:afterAutospacing="0"/>
              <w:ind w:left="0" w:right="0"/>
              <w:jc w:val="left"/>
              <w:rPr>
                <w:rFonts w:hint="eastAsia"/>
                <w:color w:val="auto"/>
                <w:spacing w:val="-3"/>
                <w:kern w:val="0"/>
                <w:sz w:val="22"/>
                <w:szCs w:val="22"/>
                <w:highlight w:val="none"/>
              </w:rPr>
            </w:pPr>
            <w:r>
              <w:rPr>
                <w:rFonts w:hint="eastAsia"/>
                <w:color w:val="auto"/>
                <w:spacing w:val="-3"/>
                <w:kern w:val="0"/>
                <w:sz w:val="22"/>
                <w:szCs w:val="22"/>
                <w:highlight w:val="none"/>
                <w:lang w:eastAsia="zh-CN"/>
              </w:rPr>
              <w:t>异议人</w:t>
            </w:r>
            <w:r>
              <w:rPr>
                <w:rFonts w:hint="default"/>
                <w:color w:val="auto"/>
                <w:spacing w:val="-3"/>
                <w:kern w:val="0"/>
                <w:sz w:val="22"/>
                <w:szCs w:val="22"/>
                <w:highlight w:val="none"/>
              </w:rPr>
              <w:t>或其他利害关系人对评标结果有异议的，应以书面形式提出</w:t>
            </w:r>
            <w:r>
              <w:rPr>
                <w:rFonts w:hint="eastAsia"/>
                <w:color w:val="auto"/>
                <w:spacing w:val="-3"/>
                <w:kern w:val="0"/>
                <w:sz w:val="22"/>
                <w:szCs w:val="22"/>
                <w:highlight w:val="none"/>
              </w:rPr>
              <w:t>，异议材料应包括：</w:t>
            </w:r>
          </w:p>
          <w:p w14:paraId="4EEF7789">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（1）异议</w:t>
            </w:r>
            <w:r>
              <w:rPr>
                <w:rFonts w:hint="default"/>
                <w:color w:val="auto"/>
                <w:spacing w:val="-3"/>
                <w:kern w:val="0"/>
                <w:sz w:val="22"/>
                <w:szCs w:val="22"/>
                <w:highlight w:val="none"/>
              </w:rPr>
              <w:t>人的名称、地址及有效联系方式；</w:t>
            </w:r>
          </w:p>
          <w:p w14:paraId="15AFE683">
            <w:pPr>
              <w:keepNext w:val="0"/>
              <w:keepLines w:val="0"/>
              <w:widowControl/>
              <w:suppressLineNumbers w:val="0"/>
              <w:shd w:val="clear" w:color="auto" w:fill="FFFFFF"/>
              <w:spacing w:before="0" w:beforeAutospacing="0" w:after="0" w:afterAutospacing="0"/>
              <w:ind w:left="0" w:right="0" w:firstLine="214" w:firstLineChars="100"/>
              <w:jc w:val="left"/>
              <w:rPr>
                <w:rFonts w:hint="default"/>
                <w:color w:val="auto"/>
                <w:spacing w:val="-3"/>
                <w:kern w:val="0"/>
                <w:sz w:val="22"/>
                <w:szCs w:val="22"/>
                <w:highlight w:val="none"/>
              </w:rPr>
            </w:pPr>
            <w:r>
              <w:rPr>
                <w:rFonts w:hint="eastAsia"/>
                <w:color w:val="auto"/>
                <w:spacing w:val="-3"/>
                <w:kern w:val="0"/>
                <w:sz w:val="22"/>
                <w:szCs w:val="22"/>
                <w:highlight w:val="none"/>
              </w:rPr>
              <w:t>（2）异议</w:t>
            </w:r>
            <w:r>
              <w:rPr>
                <w:rFonts w:hint="default"/>
                <w:color w:val="auto"/>
                <w:spacing w:val="-3"/>
                <w:kern w:val="0"/>
                <w:sz w:val="22"/>
                <w:szCs w:val="22"/>
                <w:highlight w:val="none"/>
              </w:rPr>
              <w:t>事项的基本事实；</w:t>
            </w:r>
          </w:p>
          <w:p w14:paraId="4F2DEEC3">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（3）</w:t>
            </w:r>
            <w:r>
              <w:rPr>
                <w:rFonts w:hint="default"/>
                <w:color w:val="auto"/>
                <w:spacing w:val="-3"/>
                <w:kern w:val="0"/>
                <w:sz w:val="22"/>
                <w:szCs w:val="22"/>
                <w:highlight w:val="none"/>
              </w:rPr>
              <w:t>有效线索和相关证明材料</w:t>
            </w:r>
            <w:r>
              <w:rPr>
                <w:rFonts w:hint="eastAsia"/>
                <w:color w:val="auto"/>
                <w:spacing w:val="-3"/>
                <w:kern w:val="0"/>
                <w:sz w:val="22"/>
                <w:szCs w:val="22"/>
                <w:highlight w:val="none"/>
              </w:rPr>
              <w:t>。</w:t>
            </w:r>
          </w:p>
          <w:p w14:paraId="147F6BE4">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eastAsia" w:ascii="宋体" w:hAnsi="宋体" w:cs="宋体"/>
                <w:bCs/>
                <w:color w:val="auto"/>
                <w:kern w:val="0"/>
                <w:sz w:val="22"/>
                <w:szCs w:val="22"/>
                <w:highlight w:val="none"/>
                <w:lang w:bidi="ar"/>
              </w:rPr>
            </w:pPr>
            <w:r>
              <w:rPr>
                <w:rFonts w:hint="eastAsia"/>
                <w:color w:val="auto"/>
                <w:spacing w:val="-3"/>
                <w:kern w:val="0"/>
                <w:sz w:val="22"/>
                <w:szCs w:val="22"/>
                <w:highlight w:val="none"/>
              </w:rPr>
              <w:t>异议人是法人的，异议材料必须由其法定代表人或者授权代表签字并盖章；其他组织或者个人提出异议的，异议材料必须由其主要负责人或者异议本人签字，并附有效身份证明复印件。</w:t>
            </w:r>
          </w:p>
        </w:tc>
      </w:tr>
      <w:tr w14:paraId="68575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7798F1B">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2"/>
                <w:szCs w:val="22"/>
                <w:highlight w:val="none"/>
                <w:lang w:val="en-US" w:eastAsia="zh-CN" w:bidi="ar-SA"/>
              </w:rPr>
            </w:pPr>
            <w:bookmarkStart w:id="42" w:name="_Toc26656938"/>
            <w:bookmarkStart w:id="43" w:name="_Toc14201207"/>
            <w:bookmarkStart w:id="44" w:name="_Toc9067720"/>
            <w:r>
              <w:rPr>
                <w:rFonts w:hint="eastAsia"/>
                <w:color w:val="auto"/>
                <w:sz w:val="22"/>
                <w:szCs w:val="21"/>
                <w:highlight w:val="none"/>
                <w:lang w:val="en-US" w:eastAsia="zh-CN"/>
              </w:rPr>
              <w:t>52</w:t>
            </w:r>
          </w:p>
        </w:tc>
        <w:tc>
          <w:tcPr>
            <w:tcW w:w="8540" w:type="dxa"/>
            <w:gridSpan w:val="2"/>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2DE20602">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cs="宋体" w:eastAsiaTheme="minorEastAsia"/>
                <w:bCs/>
                <w:color w:val="auto"/>
                <w:kern w:val="0"/>
                <w:sz w:val="22"/>
                <w:szCs w:val="22"/>
                <w:highlight w:val="none"/>
                <w:lang w:val="en-US" w:eastAsia="zh-CN" w:bidi="ar"/>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7812AE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2FA3198">
            <w:pPr>
              <w:keepNext w:val="0"/>
              <w:keepLines w:val="0"/>
              <w:suppressLineNumbers w:val="0"/>
              <w:spacing w:before="0" w:beforeAutospacing="0" w:after="0" w:afterAutospacing="0"/>
              <w:ind w:left="0" w:leftChars="0" w:right="0" w:rightChars="0"/>
              <w:jc w:val="center"/>
              <w:rPr>
                <w:rFonts w:hint="default"/>
                <w:color w:val="auto"/>
                <w:sz w:val="22"/>
                <w:szCs w:val="21"/>
                <w:highlight w:val="none"/>
                <w:lang w:val="en-US" w:eastAsia="zh-CN"/>
              </w:rPr>
            </w:pPr>
            <w:r>
              <w:rPr>
                <w:rFonts w:hint="eastAsia"/>
                <w:b/>
                <w:bCs/>
                <w:color w:val="auto"/>
                <w:sz w:val="22"/>
                <w:szCs w:val="21"/>
                <w:highlight w:val="none"/>
                <w:lang w:val="en-US" w:eastAsia="zh-CN"/>
              </w:rPr>
              <w:t>53</w:t>
            </w:r>
          </w:p>
        </w:tc>
        <w:tc>
          <w:tcPr>
            <w:tcW w:w="8540" w:type="dxa"/>
            <w:gridSpan w:val="2"/>
            <w:vAlign w:val="center"/>
          </w:tcPr>
          <w:p w14:paraId="1019D44D">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1.自2025 年1月1日起计算，乙方须按累计供货金额每达800万，在甲方指定的交控建工集团任意开发或代建项目购买住宅1套、车位1个。1套住宅+1个车位预估价为80万元，购买人可为乙方或乙方指定的购买人。</w:t>
            </w:r>
          </w:p>
          <w:p w14:paraId="298C3B14">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2.房屋认购应在累计供货额达到每800万后的60天内完成房屋认购，如乙方未在约定时间内完成房屋认购，乙方需向甲方支付累计供货价款10%的违约金，甲方有权直接从乙方未支付的货款中直接扣除。</w:t>
            </w:r>
          </w:p>
          <w:p w14:paraId="4197EF50">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yellow"/>
                <w:lang w:val="en-US" w:eastAsia="zh-CN"/>
              </w:rPr>
              <w:t>3.对于完成工抵的供应商获得下年度集采重点推荐资格；额外给予上年度合作额度10%的上浮空间；对合作供应商授予“战略合作伙伴"认证资质。</w:t>
            </w:r>
          </w:p>
        </w:tc>
      </w:tr>
    </w:tbl>
    <w:p w14:paraId="4F99B9F3">
      <w:pPr>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br w:type="page"/>
      </w:r>
    </w:p>
    <w:p w14:paraId="1D48D5C5">
      <w:pPr>
        <w:jc w:val="center"/>
        <w:rPr>
          <w:color w:val="auto"/>
          <w:highlight w:val="none"/>
        </w:rPr>
      </w:pPr>
      <w:r>
        <w:rPr>
          <w:rFonts w:hint="eastAsia" w:ascii="黑体" w:eastAsia="黑体"/>
          <w:color w:val="auto"/>
          <w:sz w:val="24"/>
          <w:szCs w:val="24"/>
          <w:highlight w:val="none"/>
        </w:rPr>
        <w:t>附录1 资格审查条件（资质最低条件）</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2EA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center"/>
          </w:tcPr>
          <w:p w14:paraId="698375AA">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企业资质等级要求</w:t>
            </w:r>
          </w:p>
        </w:tc>
      </w:tr>
      <w:tr w14:paraId="6CD19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noWrap w:val="0"/>
            <w:vAlign w:val="center"/>
          </w:tcPr>
          <w:p w14:paraId="146F2141">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 xml:space="preserve">①具备独立法人资格，持有有效的营业执照。  </w:t>
            </w:r>
          </w:p>
          <w:p w14:paraId="1DF8031F">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②制造商/厂家参与询比的，应具备有生产、销售采购人所需材料的能力；经销商/代理商参加询比的，应具备销售采购人所需材料的能力（提供所投产品业绩进行证明）。</w:t>
            </w:r>
          </w:p>
        </w:tc>
      </w:tr>
    </w:tbl>
    <w:p w14:paraId="69C6D5BB">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14:paraId="7A2B4050">
      <w:pPr>
        <w:pStyle w:val="8"/>
        <w:rPr>
          <w:rFonts w:hint="eastAsia"/>
          <w:color w:val="auto"/>
          <w:highlight w:val="none"/>
        </w:rPr>
      </w:pPr>
    </w:p>
    <w:p w14:paraId="54657D64">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rPr>
        <w:t>2</w:t>
      </w:r>
      <w:r>
        <w:rPr>
          <w:rFonts w:hint="eastAsia" w:ascii="黑体" w:eastAsia="黑体"/>
          <w:color w:val="auto"/>
          <w:sz w:val="24"/>
          <w:szCs w:val="24"/>
          <w:highlight w:val="none"/>
        </w:rPr>
        <w:t xml:space="preserve"> 资格审查条件（业绩最低要求）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20A5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noWrap w:val="0"/>
            <w:vAlign w:val="center"/>
          </w:tcPr>
          <w:p w14:paraId="400F703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业 绩 要 求</w:t>
            </w:r>
          </w:p>
        </w:tc>
      </w:tr>
      <w:tr w14:paraId="4D6AB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0" w:type="pct"/>
            <w:noWrap w:val="0"/>
            <w:vAlign w:val="center"/>
          </w:tcPr>
          <w:p w14:paraId="646575DB">
            <w:pPr>
              <w:keepNext w:val="0"/>
              <w:keepLines w:val="0"/>
              <w:suppressLineNumbers w:val="0"/>
              <w:snapToGrid w:val="0"/>
              <w:spacing w:before="0" w:beforeAutospacing="0" w:after="0" w:afterAutospacing="0"/>
              <w:ind w:left="0" w:right="0"/>
              <w:jc w:val="left"/>
              <w:rPr>
                <w:rFonts w:hint="default" w:hAnsi="宋体"/>
                <w:color w:val="auto"/>
                <w:sz w:val="22"/>
                <w:szCs w:val="22"/>
                <w:highlight w:val="none"/>
              </w:rPr>
            </w:pPr>
            <w:r>
              <w:rPr>
                <w:rFonts w:hint="eastAsia"/>
                <w:color w:val="auto"/>
                <w:highlight w:val="none"/>
                <w:lang w:val="en-US" w:eastAsia="zh-CN"/>
              </w:rPr>
              <w:t>至少提供1个自2022年1月1日以来，单项合同额不低于30万元的空气能或太阳能合同业绩，</w:t>
            </w:r>
            <w:r>
              <w:rPr>
                <w:rFonts w:hint="default"/>
                <w:color w:val="auto"/>
                <w:highlight w:val="none"/>
                <w:lang w:val="en-US" w:eastAsia="zh-CN"/>
              </w:rPr>
              <w:t>每个业绩至少提供不低于合同金额50%的增值税发票（或提供不低于资格审查要求业绩金额的增值税发票），未提供或提供发票金额不足的，该业绩无效</w:t>
            </w:r>
            <w:r>
              <w:rPr>
                <w:rFonts w:hint="eastAsia"/>
                <w:color w:val="auto"/>
                <w:highlight w:val="none"/>
                <w:lang w:val="en-US" w:eastAsia="zh-CN"/>
              </w:rPr>
              <w:t>。</w:t>
            </w:r>
          </w:p>
        </w:tc>
      </w:tr>
    </w:tbl>
    <w:p w14:paraId="1E862039">
      <w:pPr>
        <w:bidi w:val="0"/>
        <w:rPr>
          <w:rFonts w:hint="eastAsia"/>
          <w:color w:val="auto"/>
          <w:highlight w:val="none"/>
          <w:lang w:val="en-US" w:eastAsia="zh-CN"/>
        </w:rPr>
      </w:pPr>
      <w:r>
        <w:rPr>
          <w:rFonts w:hint="eastAsia"/>
          <w:color w:val="auto"/>
          <w:highlight w:val="none"/>
          <w:lang w:val="en-US" w:eastAsia="zh-CN"/>
        </w:rPr>
        <w:t>业绩证明材料要求如下，否则业绩不予认可。</w:t>
      </w:r>
    </w:p>
    <w:p w14:paraId="58ABB2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①合同协议书扫描件；</w:t>
      </w:r>
    </w:p>
    <w:p w14:paraId="57BA9A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②若合同协议书中不能明确反映出采购文件所要求内容的（如合同金额、合同签订时间、供货内容等），则须提供业主单位（甲方）出具加盖公章的证明材料扫描件。</w:t>
      </w:r>
    </w:p>
    <w:p w14:paraId="6204F1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③若业绩合同中包含多项设备，则合同中应能体现资格要求中所需设备的内容和金额，无法体现的，须提供供货单据、供货发票、业主验收单等能证明相关评审因素的证明材料，否则业绩不予认可。</w:t>
      </w:r>
    </w:p>
    <w:p w14:paraId="7A2425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color w:val="auto"/>
          <w:szCs w:val="24"/>
          <w:highlight w:val="none"/>
        </w:rPr>
      </w:pPr>
      <w:r>
        <w:rPr>
          <w:rFonts w:hint="eastAsia"/>
          <w:color w:val="auto"/>
          <w:highlight w:val="none"/>
          <w:lang w:val="en-US" w:eastAsia="zh-CN"/>
        </w:rPr>
        <w:t>④</w:t>
      </w:r>
      <w:r>
        <w:rPr>
          <w:rFonts w:hint="eastAsia"/>
          <w:color w:val="auto"/>
          <w:highlight w:val="none"/>
        </w:rPr>
        <w:t>如近年来，</w:t>
      </w:r>
      <w:r>
        <w:rPr>
          <w:rFonts w:hint="eastAsia"/>
          <w:color w:val="auto"/>
          <w:highlight w:val="none"/>
          <w:lang w:val="en-US" w:eastAsia="zh-CN"/>
        </w:rPr>
        <w:t>响应</w:t>
      </w:r>
      <w:r>
        <w:rPr>
          <w:rFonts w:hint="eastAsia"/>
          <w:color w:val="auto"/>
          <w:highlight w:val="none"/>
        </w:rPr>
        <w:t>人法人机构发生合法变更或重组或法人名称变更时，应提供相关部门的合法批件扫描件或其他相关证明材料扫描件来证明其所</w:t>
      </w:r>
      <w:r>
        <w:rPr>
          <w:rFonts w:hint="eastAsia"/>
          <w:color w:val="auto"/>
          <w:szCs w:val="21"/>
          <w:highlight w:val="none"/>
        </w:rPr>
        <w:t>附业绩的继承性。</w:t>
      </w:r>
    </w:p>
    <w:p w14:paraId="47E73362">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568C1D1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6F2BBB16">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lang w:val="en-US" w:eastAsia="zh-CN"/>
        </w:rPr>
        <w:t>3</w:t>
      </w:r>
      <w:r>
        <w:rPr>
          <w:rFonts w:hint="eastAsia" w:ascii="黑体" w:eastAsia="黑体"/>
          <w:color w:val="auto"/>
          <w:sz w:val="24"/>
          <w:szCs w:val="24"/>
          <w:highlight w:val="none"/>
        </w:rPr>
        <w:t>资格审查条件（信誉最低要求）</w:t>
      </w:r>
    </w:p>
    <w:tbl>
      <w:tblPr>
        <w:tblStyle w:val="21"/>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14:paraId="2A1E6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5000" w:type="pct"/>
            <w:noWrap w:val="0"/>
            <w:vAlign w:val="center"/>
          </w:tcPr>
          <w:p w14:paraId="60DF51B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信 誉 要 求</w:t>
            </w:r>
          </w:p>
        </w:tc>
      </w:tr>
      <w:tr w14:paraId="5B88B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000" w:type="pct"/>
            <w:noWrap w:val="0"/>
            <w:vAlign w:val="center"/>
          </w:tcPr>
          <w:p w14:paraId="411EB1F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1.</w:t>
            </w:r>
            <w:r>
              <w:rPr>
                <w:rFonts w:hint="eastAsia"/>
                <w:color w:val="auto"/>
                <w:highlight w:val="none"/>
                <w:lang w:val="en-US" w:eastAsia="zh-CN"/>
              </w:rPr>
              <w:t>响应</w:t>
            </w:r>
            <w:r>
              <w:rPr>
                <w:rFonts w:hint="eastAsia"/>
                <w:color w:val="auto"/>
                <w:highlight w:val="none"/>
              </w:rPr>
              <w:t>人、法定代表人近三年内无行贿犯罪行为。</w:t>
            </w:r>
          </w:p>
          <w:p w14:paraId="6A5553A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2.</w:t>
            </w:r>
            <w:r>
              <w:rPr>
                <w:rFonts w:hint="eastAsia"/>
                <w:color w:val="auto"/>
                <w:highlight w:val="none"/>
                <w:lang w:val="en-US" w:eastAsia="zh-CN"/>
              </w:rPr>
              <w:t>响应</w:t>
            </w:r>
            <w:r>
              <w:rPr>
                <w:rFonts w:hint="eastAsia"/>
                <w:color w:val="auto"/>
                <w:highlight w:val="none"/>
              </w:rPr>
              <w:t>人未被人民法院列入失信被执行人（以“信用中国”官网www.creditchina.gov.cn查询为准）。</w:t>
            </w:r>
          </w:p>
          <w:p w14:paraId="666D4C2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3</w:t>
            </w:r>
            <w:r>
              <w:rPr>
                <w:rFonts w:hint="eastAsia"/>
                <w:color w:val="auto"/>
                <w:highlight w:val="none"/>
                <w:lang w:val="en-US" w:eastAsia="zh-CN"/>
              </w:rPr>
              <w:t>响应</w:t>
            </w:r>
            <w:r>
              <w:rPr>
                <w:rFonts w:hint="eastAsia"/>
                <w:color w:val="auto"/>
                <w:highlight w:val="none"/>
              </w:rPr>
              <w:t>人没有正受到责令停业，暂扣或吊销执照，或吊销资质证书。</w:t>
            </w:r>
          </w:p>
          <w:p w14:paraId="6441AD71">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4</w:t>
            </w:r>
            <w:r>
              <w:rPr>
                <w:rFonts w:hint="eastAsia"/>
                <w:color w:val="auto"/>
                <w:highlight w:val="none"/>
              </w:rPr>
              <w:t>.没有进入清算程序，或被宣告破产，或其他丧失履约能力的情形。</w:t>
            </w:r>
          </w:p>
          <w:p w14:paraId="153E6BC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5</w:t>
            </w:r>
            <w:r>
              <w:rPr>
                <w:rFonts w:hint="eastAsia"/>
                <w:color w:val="auto"/>
                <w:highlight w:val="none"/>
              </w:rPr>
              <w:t>.没有在国家企业信用信息公示系统（www.gsxt.gov.cn）中被列入严重违法失信企业名单。</w:t>
            </w:r>
          </w:p>
          <w:p w14:paraId="5197A15B">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6</w:t>
            </w:r>
            <w:r>
              <w:rPr>
                <w:rFonts w:hint="eastAsia"/>
                <w:color w:val="auto"/>
                <w:highlight w:val="none"/>
              </w:rPr>
              <w:t>.没有法律法规规定的其他情形。</w:t>
            </w:r>
          </w:p>
        </w:tc>
      </w:tr>
    </w:tbl>
    <w:p w14:paraId="144FECD2">
      <w:pPr>
        <w:pStyle w:val="33"/>
        <w:rPr>
          <w:rFonts w:ascii="Times New Roman" w:hAnsi="Times New Roman" w:eastAsia="黑体" w:cs="Times New Roman"/>
          <w:bCs/>
          <w:color w:val="auto"/>
          <w:sz w:val="24"/>
          <w:szCs w:val="32"/>
          <w:highlight w:val="none"/>
        </w:rPr>
      </w:pPr>
    </w:p>
    <w:p w14:paraId="48355162">
      <w:pPr>
        <w:pStyle w:val="33"/>
        <w:rPr>
          <w:rFonts w:ascii="Times New Roman" w:hAnsi="Times New Roman" w:eastAsia="黑体" w:cs="Times New Roman"/>
          <w:bCs/>
          <w:color w:val="auto"/>
          <w:sz w:val="24"/>
          <w:szCs w:val="32"/>
          <w:highlight w:val="none"/>
        </w:rPr>
      </w:pPr>
    </w:p>
    <w:p w14:paraId="6DB6BC15">
      <w:pPr>
        <w:jc w:val="center"/>
        <w:rPr>
          <w:rFonts w:hint="eastAsia" w:ascii="黑体" w:eastAsia="黑体"/>
          <w:sz w:val="24"/>
          <w:szCs w:val="24"/>
          <w:highlight w:val="none"/>
        </w:rPr>
      </w:pPr>
    </w:p>
    <w:p w14:paraId="09FA73C9">
      <w:pPr>
        <w:pStyle w:val="8"/>
        <w:rPr>
          <w:rFonts w:hint="eastAsia"/>
        </w:rPr>
      </w:pPr>
    </w:p>
    <w:p w14:paraId="43ED56AD">
      <w:pPr>
        <w:jc w:val="both"/>
        <w:rPr>
          <w:rFonts w:hint="eastAsia" w:ascii="黑体" w:eastAsia="黑体"/>
          <w:color w:val="auto"/>
          <w:sz w:val="24"/>
          <w:szCs w:val="24"/>
          <w:highlight w:val="none"/>
        </w:rPr>
      </w:pPr>
    </w:p>
    <w:p w14:paraId="45052D6F">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 总则</w:t>
      </w:r>
    </w:p>
    <w:p w14:paraId="77412F2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1.1 质量要求</w:t>
      </w:r>
    </w:p>
    <w:p w14:paraId="0EE35E84">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w:t>
      </w:r>
      <w:r>
        <w:rPr>
          <w:rFonts w:hint="eastAsia" w:ascii="Times New Roman" w:hAnsi="Times New Roman" w:cs="Times New Roman"/>
          <w:color w:val="auto"/>
          <w:szCs w:val="21"/>
          <w:highlight w:val="none"/>
        </w:rPr>
        <w:t>见供应商须知前附表。</w:t>
      </w:r>
    </w:p>
    <w:p w14:paraId="1F3A9F9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 xml:space="preserve"> 供应商资格要求</w:t>
      </w:r>
    </w:p>
    <w:p w14:paraId="574DAA99">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供应商应具备承担本合同包</w:t>
      </w:r>
      <w:r>
        <w:rPr>
          <w:rFonts w:hint="eastAsia" w:ascii="Times New Roman" w:hAnsi="Times New Roman" w:cs="Times New Roman"/>
          <w:color w:val="auto"/>
          <w:szCs w:val="21"/>
          <w:highlight w:val="none"/>
          <w:lang w:val="en-US" w:eastAsia="zh-CN"/>
        </w:rPr>
        <w:t>供货</w:t>
      </w:r>
      <w:r>
        <w:rPr>
          <w:rFonts w:ascii="Times New Roman" w:hAnsi="Times New Roman" w:cs="Times New Roman"/>
          <w:color w:val="auto"/>
          <w:szCs w:val="21"/>
          <w:highlight w:val="none"/>
        </w:rPr>
        <w:t xml:space="preserve">的资质条件、能力和信誉：见第一章 </w:t>
      </w:r>
      <w:r>
        <w:rPr>
          <w:rFonts w:hint="eastAsia" w:ascii="Times New Roman" w:hAnsi="Times New Roman" w:cs="Times New Roman"/>
          <w:color w:val="auto"/>
          <w:szCs w:val="21"/>
          <w:highlight w:val="none"/>
        </w:rPr>
        <w:t>采购公告要求</w:t>
      </w:r>
      <w:r>
        <w:rPr>
          <w:rFonts w:ascii="Times New Roman" w:hAnsi="Times New Roman" w:cs="Times New Roman"/>
          <w:color w:val="auto"/>
          <w:szCs w:val="21"/>
          <w:highlight w:val="none"/>
        </w:rPr>
        <w:t>。</w:t>
      </w:r>
    </w:p>
    <w:p w14:paraId="626050F3">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rPr>
        <w:t>要求：见供应商须知前附表</w:t>
      </w:r>
      <w:r>
        <w:rPr>
          <w:rFonts w:ascii="Times New Roman" w:hAnsi="Times New Roman" w:cs="Times New Roman"/>
          <w:color w:val="auto"/>
          <w:szCs w:val="21"/>
          <w:highlight w:val="none"/>
        </w:rPr>
        <w:t>。</w:t>
      </w:r>
    </w:p>
    <w:p w14:paraId="457EDFD6">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3</w:t>
      </w:r>
      <w:r>
        <w:rPr>
          <w:rFonts w:ascii="Times New Roman" w:hAnsi="Times New Roman" w:eastAsia="黑体" w:cs="Times New Roman"/>
          <w:bCs/>
          <w:color w:val="auto"/>
          <w:sz w:val="24"/>
          <w:szCs w:val="32"/>
          <w:highlight w:val="none"/>
        </w:rPr>
        <w:t xml:space="preserve"> 费用承担</w:t>
      </w:r>
    </w:p>
    <w:p w14:paraId="5C4C1601">
      <w:pPr>
        <w:spacing w:line="440" w:lineRule="exact"/>
        <w:ind w:firstLine="42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供应商准备和参加询比活动发生的费用自理。</w:t>
      </w:r>
    </w:p>
    <w:p w14:paraId="464C6AD2">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4</w:t>
      </w:r>
      <w:r>
        <w:rPr>
          <w:rFonts w:ascii="Times New Roman" w:hAnsi="Times New Roman" w:eastAsia="黑体" w:cs="Times New Roman"/>
          <w:bCs/>
          <w:color w:val="auto"/>
          <w:sz w:val="24"/>
          <w:szCs w:val="32"/>
          <w:highlight w:val="none"/>
        </w:rPr>
        <w:t xml:space="preserve"> 保密</w:t>
      </w:r>
    </w:p>
    <w:p w14:paraId="7B12013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14:paraId="42C62DD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5</w:t>
      </w:r>
      <w:r>
        <w:rPr>
          <w:rFonts w:ascii="Times New Roman" w:hAnsi="Times New Roman" w:eastAsia="黑体" w:cs="Times New Roman"/>
          <w:bCs/>
          <w:color w:val="auto"/>
          <w:sz w:val="24"/>
          <w:szCs w:val="32"/>
          <w:highlight w:val="none"/>
        </w:rPr>
        <w:t xml:space="preserve"> 计量单位</w:t>
      </w:r>
    </w:p>
    <w:p w14:paraId="573641B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14:paraId="05C4301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 xml:space="preserve"> 踏勘现场</w:t>
      </w:r>
    </w:p>
    <w:p w14:paraId="74AD0A0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w:t>
      </w:r>
      <w:r>
        <w:rPr>
          <w:rFonts w:hint="eastAsia" w:ascii="Times New Roman" w:hAnsi="Times New Roman" w:cs="Times New Roman"/>
          <w:color w:val="auto"/>
          <w:highlight w:val="none"/>
        </w:rPr>
        <w:t>自行</w:t>
      </w:r>
      <w:r>
        <w:rPr>
          <w:rFonts w:ascii="Times New Roman" w:hAnsi="Times New Roman" w:cs="Times New Roman"/>
          <w:color w:val="auto"/>
          <w:highlight w:val="none"/>
        </w:rPr>
        <w:t>踏勘现场</w:t>
      </w:r>
      <w:r>
        <w:rPr>
          <w:rFonts w:hint="eastAsia" w:ascii="Times New Roman" w:hAnsi="Times New Roman" w:cs="Times New Roman"/>
          <w:color w:val="auto"/>
          <w:highlight w:val="none"/>
        </w:rPr>
        <w:t>且</w:t>
      </w:r>
      <w:r>
        <w:rPr>
          <w:rFonts w:ascii="Times New Roman" w:hAnsi="Times New Roman" w:cs="Times New Roman"/>
          <w:color w:val="auto"/>
          <w:highlight w:val="none"/>
        </w:rPr>
        <w:t>费用自理。</w:t>
      </w:r>
    </w:p>
    <w:p w14:paraId="0739545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7</w:t>
      </w:r>
      <w:r>
        <w:rPr>
          <w:rFonts w:ascii="Times New Roman" w:hAnsi="Times New Roman" w:eastAsia="黑体" w:cs="Times New Roman"/>
          <w:bCs/>
          <w:color w:val="auto"/>
          <w:sz w:val="24"/>
          <w:szCs w:val="32"/>
          <w:highlight w:val="none"/>
        </w:rPr>
        <w:t xml:space="preserve"> 分包</w:t>
      </w:r>
    </w:p>
    <w:p w14:paraId="43E1953C">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不允许分包。</w:t>
      </w:r>
    </w:p>
    <w:p w14:paraId="1DBA1C2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8</w:t>
      </w:r>
      <w:r>
        <w:rPr>
          <w:rFonts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rPr>
        <w:t>差</w:t>
      </w:r>
    </w:p>
    <w:p w14:paraId="3D3ED44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偏差包括重大偏差和细微偏差。</w:t>
      </w:r>
    </w:p>
    <w:p w14:paraId="673725B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.2 响应文件存在“评审办法”中所列任一否决</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情形的，均属于存在重大偏差</w:t>
      </w:r>
      <w:r>
        <w:rPr>
          <w:rFonts w:hint="eastAsia" w:ascii="Times New Roman" w:hAnsi="Times New Roman" w:cs="Times New Roman"/>
          <w:color w:val="auto"/>
          <w:highlight w:val="none"/>
        </w:rPr>
        <w:t>，响应文件将被否决</w:t>
      </w:r>
      <w:r>
        <w:rPr>
          <w:rFonts w:ascii="Times New Roman" w:hAnsi="Times New Roman" w:cs="Times New Roman"/>
          <w:color w:val="auto"/>
          <w:highlight w:val="none"/>
        </w:rPr>
        <w:t>。</w:t>
      </w:r>
    </w:p>
    <w:p w14:paraId="0A4E378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 询比文件</w:t>
      </w:r>
    </w:p>
    <w:p w14:paraId="6B8D058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2.1 询比文件的组成</w:t>
      </w:r>
    </w:p>
    <w:p w14:paraId="459FA22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14:paraId="72491CE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1A876D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34D240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5653FBF4">
      <w:pPr>
        <w:spacing w:line="440" w:lineRule="exact"/>
        <w:ind w:firstLine="420"/>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lang w:eastAsia="zh-CN"/>
        </w:rPr>
        <w:t>；</w:t>
      </w:r>
    </w:p>
    <w:p w14:paraId="5673F0D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）采购需求及清单；</w:t>
      </w:r>
    </w:p>
    <w:p w14:paraId="2ACE91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4D3C148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根据本章对询比文件所作的澄清、修改，构成询比文件的组成部分。</w:t>
      </w:r>
    </w:p>
    <w:p w14:paraId="0EEC05B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14:paraId="558066E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2.2 询比文件的澄清</w:t>
      </w:r>
      <w:r>
        <w:rPr>
          <w:rFonts w:hint="eastAsia" w:ascii="Times New Roman" w:hAnsi="Times New Roman" w:eastAsia="黑体" w:cs="Times New Roman"/>
          <w:bCs/>
          <w:color w:val="auto"/>
          <w:sz w:val="24"/>
          <w:szCs w:val="32"/>
          <w:highlight w:val="none"/>
        </w:rPr>
        <w:t>与修改</w:t>
      </w:r>
    </w:p>
    <w:p w14:paraId="7D1E9CF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供应商如有疑问，应在递交</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文件的截止时间</w:t>
      </w:r>
      <w:r>
        <w:rPr>
          <w:rFonts w:hint="eastAsia" w:ascii="Times New Roman" w:hAnsi="Times New Roman" w:cs="Times New Roman"/>
          <w:color w:val="auto"/>
          <w:highlight w:val="none"/>
        </w:rPr>
        <w:t>前3日</w:t>
      </w:r>
      <w:r>
        <w:rPr>
          <w:rFonts w:hint="eastAsia" w:ascii="Times New Roman" w:hAnsi="Times New Roman" w:cs="Times New Roman"/>
          <w:color w:val="auto"/>
          <w:highlight w:val="none"/>
          <w:lang w:val="en-US" w:eastAsia="zh-CN"/>
        </w:rPr>
        <w:t>内</w:t>
      </w:r>
      <w:r>
        <w:rPr>
          <w:rFonts w:hint="eastAsia" w:ascii="Times New Roman" w:hAnsi="Times New Roman" w:cs="Times New Roman"/>
          <w:color w:val="auto"/>
          <w:highlight w:val="none"/>
        </w:rPr>
        <w:t>通过</w:t>
      </w:r>
      <w:r>
        <w:rPr>
          <w:rFonts w:hint="eastAsia" w:ascii="Times New Roman" w:hAnsi="Times New Roman" w:cs="Times New Roman"/>
          <w:color w:val="auto"/>
          <w:highlight w:val="none"/>
          <w:lang w:val="en-US" w:eastAsia="zh-CN"/>
        </w:rPr>
        <w:t>公告中的联系方式联系采购人</w:t>
      </w:r>
      <w:r>
        <w:rPr>
          <w:rFonts w:ascii="Times New Roman" w:hAnsi="Times New Roman" w:cs="Times New Roman"/>
          <w:color w:val="auto"/>
          <w:highlight w:val="none"/>
        </w:rPr>
        <w:t>对询比文件予以澄清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w:t>
      </w:r>
    </w:p>
    <w:p w14:paraId="4F4B5C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4812FE20">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 响应文件</w:t>
      </w:r>
    </w:p>
    <w:p w14:paraId="0623615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3.1响应文件的组成</w:t>
      </w:r>
    </w:p>
    <w:p w14:paraId="3B8667E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14:paraId="3A53D988">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商务技术文件应包括下列内容：</w:t>
      </w:r>
    </w:p>
    <w:p w14:paraId="71EC1205">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响应函；</w:t>
      </w:r>
    </w:p>
    <w:p w14:paraId="6B5CBC33">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）法定代表人身份证明及授权委托书；</w:t>
      </w:r>
    </w:p>
    <w:p w14:paraId="58031DB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）供应商基本情况；</w:t>
      </w:r>
    </w:p>
    <w:p w14:paraId="3CB294D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）近年类似业绩情况；</w:t>
      </w:r>
    </w:p>
    <w:p w14:paraId="47C953A1">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）信誉情况；</w:t>
      </w:r>
    </w:p>
    <w:p w14:paraId="4B6C2BFB">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企业实力</w:t>
      </w:r>
      <w:r>
        <w:rPr>
          <w:rFonts w:hint="eastAsia" w:ascii="宋体" w:hAnsi="宋体" w:eastAsia="宋体" w:cs="宋体"/>
          <w:color w:val="auto"/>
          <w:highlight w:val="none"/>
        </w:rPr>
        <w:t>；</w:t>
      </w:r>
    </w:p>
    <w:p w14:paraId="60BB8235">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检测报告及合格证；</w:t>
      </w:r>
    </w:p>
    <w:p w14:paraId="623BF354">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）供货方案</w:t>
      </w:r>
      <w:r>
        <w:rPr>
          <w:rFonts w:hint="eastAsia" w:ascii="宋体" w:hAnsi="宋体" w:eastAsia="宋体" w:cs="宋体"/>
          <w:color w:val="auto"/>
          <w:highlight w:val="none"/>
          <w:lang w:eastAsia="zh-CN"/>
        </w:rPr>
        <w:t>；</w:t>
      </w:r>
    </w:p>
    <w:p w14:paraId="26AACF9D">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）售后服务方案</w:t>
      </w:r>
      <w:r>
        <w:rPr>
          <w:rFonts w:hint="eastAsia" w:ascii="宋体" w:hAnsi="宋体" w:eastAsia="宋体" w:cs="宋体"/>
          <w:color w:val="auto"/>
          <w:highlight w:val="none"/>
          <w:lang w:eastAsia="zh-CN"/>
        </w:rPr>
        <w:t>；</w:t>
      </w:r>
    </w:p>
    <w:p w14:paraId="2FE62E28">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承诺书</w:t>
      </w:r>
      <w:r>
        <w:rPr>
          <w:rFonts w:hint="eastAsia" w:ascii="宋体" w:hAnsi="宋体" w:eastAsia="宋体" w:cs="宋体"/>
          <w:color w:val="auto"/>
          <w:highlight w:val="none"/>
          <w:lang w:eastAsia="zh-CN"/>
        </w:rPr>
        <w:t>；</w:t>
      </w:r>
    </w:p>
    <w:p w14:paraId="0593F931">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其他材料。</w:t>
      </w:r>
    </w:p>
    <w:p w14:paraId="6E291C06">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报价文件包括以下内容：</w:t>
      </w:r>
    </w:p>
    <w:p w14:paraId="1E28237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报价函</w:t>
      </w:r>
      <w:r>
        <w:rPr>
          <w:rFonts w:hint="eastAsia" w:ascii="宋体" w:hAnsi="宋体" w:eastAsia="宋体" w:cs="宋体"/>
          <w:color w:val="auto"/>
          <w:highlight w:val="none"/>
        </w:rPr>
        <w:t>；</w:t>
      </w:r>
    </w:p>
    <w:p w14:paraId="6D123A2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已标价的工程量清单</w:t>
      </w:r>
      <w:r>
        <w:rPr>
          <w:rFonts w:hint="eastAsia" w:ascii="宋体" w:hAnsi="宋体" w:eastAsia="宋体" w:cs="宋体"/>
          <w:color w:val="auto"/>
          <w:highlight w:val="none"/>
        </w:rPr>
        <w:t>；</w:t>
      </w:r>
    </w:p>
    <w:p w14:paraId="625EE505">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响应报价需要说明的其他资料。（如有）</w:t>
      </w:r>
    </w:p>
    <w:p w14:paraId="483DBC9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10975D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14:paraId="371123B0">
      <w:pPr>
        <w:spacing w:line="440" w:lineRule="exact"/>
        <w:ind w:firstLine="42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rPr>
        <w:t xml:space="preserve">3.2.2 </w:t>
      </w:r>
      <w:r>
        <w:rPr>
          <w:rFonts w:ascii="Times New Roman" w:hAnsi="Times New Roman" w:cs="Times New Roman"/>
          <w:color w:val="auto"/>
          <w:highlight w:val="none"/>
        </w:rPr>
        <w:t>供应商应按第六章“响应文件格式”的要求在报价函中进行报价并填写工程量清单相应表格</w:t>
      </w:r>
      <w:r>
        <w:rPr>
          <w:rFonts w:hint="eastAsia" w:ascii="Times New Roman" w:hAnsi="Times New Roman" w:cs="Times New Roman"/>
          <w:color w:val="auto"/>
          <w:highlight w:val="none"/>
          <w:lang w:val="en-US" w:eastAsia="zh-CN"/>
        </w:rPr>
        <w:t>。</w:t>
      </w:r>
    </w:p>
    <w:p w14:paraId="087A9C7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3</w:t>
      </w:r>
      <w:r>
        <w:rPr>
          <w:rFonts w:ascii="Times New Roman" w:hAnsi="Times New Roman" w:cs="Times New Roman"/>
          <w:color w:val="auto"/>
          <w:highlight w:val="none"/>
        </w:rPr>
        <w:t xml:space="preserve"> 采购人设有最高限价的，供应商的报价不得超过最高限价，</w:t>
      </w:r>
      <w:r>
        <w:rPr>
          <w:rFonts w:hint="eastAsia" w:ascii="Times New Roman" w:hAnsi="Times New Roman" w:cs="Times New Roman"/>
          <w:color w:val="auto"/>
          <w:highlight w:val="none"/>
        </w:rPr>
        <w:t>否则其报价将被否决，</w:t>
      </w:r>
      <w:r>
        <w:rPr>
          <w:rFonts w:ascii="Times New Roman" w:hAnsi="Times New Roman" w:cs="Times New Roman"/>
          <w:color w:val="auto"/>
          <w:highlight w:val="none"/>
        </w:rPr>
        <w:t>最高限价</w:t>
      </w:r>
      <w:r>
        <w:rPr>
          <w:rFonts w:hint="eastAsia" w:ascii="Times New Roman" w:hAnsi="Times New Roman" w:cs="Times New Roman"/>
          <w:color w:val="auto"/>
          <w:highlight w:val="none"/>
        </w:rPr>
        <w:t>见第一章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p>
    <w:p w14:paraId="56ABAAD1">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3.2.4</w:t>
      </w:r>
      <w:r>
        <w:rPr>
          <w:rFonts w:ascii="Times New Roman" w:hAnsi="Times New Roman" w:cs="Times New Roman"/>
          <w:color w:val="auto"/>
          <w:highlight w:val="none"/>
        </w:rPr>
        <w:t>本项目的报价方式</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u w:val="single"/>
        </w:rPr>
        <w:t>见供应商须知前附表</w:t>
      </w:r>
      <w:r>
        <w:rPr>
          <w:rFonts w:ascii="Times New Roman" w:hAnsi="Times New Roman" w:cs="Times New Roman"/>
          <w:color w:val="auto"/>
          <w:highlight w:val="none"/>
        </w:rPr>
        <w:t>。</w:t>
      </w:r>
    </w:p>
    <w:p w14:paraId="6623A5B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rPr>
        <w:t>：</w:t>
      </w:r>
      <w:r>
        <w:rPr>
          <w:rFonts w:hint="eastAsia" w:ascii="Times New Roman" w:hAnsi="Times New Roman" w:cs="Times New Roman"/>
          <w:color w:val="auto"/>
          <w:szCs w:val="21"/>
          <w:highlight w:val="none"/>
          <w:u w:val="single"/>
        </w:rPr>
        <w:t>见供应商须知前附表</w:t>
      </w:r>
      <w:r>
        <w:rPr>
          <w:rFonts w:ascii="Times New Roman" w:hAnsi="Times New Roman" w:cs="Times New Roman"/>
          <w:color w:val="auto"/>
          <w:highlight w:val="none"/>
        </w:rPr>
        <w:t>。</w:t>
      </w:r>
    </w:p>
    <w:p w14:paraId="4CB7B67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3.3响应有效期</w:t>
      </w:r>
    </w:p>
    <w:p w14:paraId="52862C9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w:t>
      </w: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0</w:t>
      </w:r>
      <w:r>
        <w:rPr>
          <w:rFonts w:ascii="Times New Roman" w:hAnsi="Times New Roman" w:cs="Times New Roman"/>
          <w:color w:val="auto"/>
          <w:highlight w:val="none"/>
        </w:rPr>
        <w:t>日。</w:t>
      </w:r>
    </w:p>
    <w:p w14:paraId="51F4431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14:paraId="37CC1857">
      <w:pPr>
        <w:keepNext/>
        <w:keepLines/>
        <w:spacing w:before="120" w:after="120" w:line="415" w:lineRule="auto"/>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3.4响应保证金</w:t>
      </w:r>
    </w:p>
    <w:p w14:paraId="078C90F4">
      <w:pPr>
        <w:spacing w:line="440" w:lineRule="exact"/>
        <w:ind w:firstLine="420"/>
        <w:rPr>
          <w:rFonts w:ascii="Times New Roman" w:hAnsi="Times New Roman"/>
          <w:color w:val="auto"/>
          <w:highlight w:val="none"/>
        </w:rPr>
      </w:pPr>
      <w:r>
        <w:rPr>
          <w:rFonts w:ascii="Times New Roman" w:hAnsi="Times New Roman" w:cs="Times New Roman"/>
          <w:color w:val="auto"/>
          <w:highlight w:val="none"/>
        </w:rPr>
        <w:t>3.4.1 供应商在递交响应文件的同时，应按</w:t>
      </w:r>
      <w:r>
        <w:rPr>
          <w:rFonts w:hint="eastAsia" w:ascii="Times New Roman" w:hAnsi="Times New Roman" w:cs="Times New Roman"/>
          <w:color w:val="auto"/>
          <w:highlight w:val="none"/>
        </w:rPr>
        <w:t>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highlight w:val="none"/>
        </w:rPr>
        <w:t>的要求</w:t>
      </w:r>
      <w:r>
        <w:rPr>
          <w:rFonts w:ascii="Times New Roman" w:hAnsi="Times New Roman" w:cs="Times New Roman"/>
          <w:color w:val="auto"/>
          <w:highlight w:val="none"/>
        </w:rPr>
        <w:t>递交响应保证金，并作为其响应文件的组成部分。</w:t>
      </w:r>
    </w:p>
    <w:p w14:paraId="79CBA47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14:paraId="522DB6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将否决其</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w:t>
      </w:r>
    </w:p>
    <w:p w14:paraId="572C7A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3.4.3 采购人在与成交人签订合同后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w:t>
      </w:r>
      <w:r>
        <w:rPr>
          <w:rFonts w:hint="eastAsia" w:ascii="Times New Roman" w:hAnsi="Times New Roman" w:cs="Times New Roman"/>
          <w:color w:val="auto"/>
          <w:highlight w:val="none"/>
          <w:lang w:val="en-US" w:eastAsia="zh-CN"/>
        </w:rPr>
        <w:t>向未成交人办理</w:t>
      </w:r>
      <w:r>
        <w:rPr>
          <w:rFonts w:ascii="Times New Roman" w:hAnsi="Times New Roman" w:cs="Times New Roman"/>
          <w:color w:val="auto"/>
          <w:highlight w:val="none"/>
        </w:rPr>
        <w:t>退还响应保证金手续。</w:t>
      </w:r>
    </w:p>
    <w:p w14:paraId="5FCC461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14:paraId="695F4B0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14:paraId="0C6EA52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CFB26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szCs w:val="21"/>
          <w:highlight w:val="none"/>
        </w:rPr>
        <w:t>供应商须知前附表规定的</w:t>
      </w:r>
      <w:r>
        <w:rPr>
          <w:rFonts w:ascii="Times New Roman" w:hAnsi="Times New Roman" w:cs="Times New Roman"/>
          <w:color w:val="auto"/>
          <w:szCs w:val="21"/>
          <w:highlight w:val="none"/>
        </w:rPr>
        <w:t>其他情形</w:t>
      </w:r>
      <w:r>
        <w:rPr>
          <w:rFonts w:ascii="Times New Roman" w:hAnsi="Times New Roman" w:cs="Times New Roman"/>
          <w:color w:val="auto"/>
          <w:highlight w:val="none"/>
        </w:rPr>
        <w:t>。</w:t>
      </w:r>
    </w:p>
    <w:p w14:paraId="3DF896D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3.5资格审查资料</w:t>
      </w:r>
    </w:p>
    <w:p w14:paraId="1857BB4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供应商应按“响应文件格式”</w:t>
      </w:r>
      <w:r>
        <w:rPr>
          <w:rFonts w:hint="eastAsia" w:ascii="Times New Roman" w:hAnsi="Times New Roman" w:cs="Times New Roman"/>
          <w:color w:val="auto"/>
          <w:highlight w:val="none"/>
        </w:rPr>
        <w:t>的</w:t>
      </w:r>
      <w:r>
        <w:rPr>
          <w:rFonts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款规定的资质、</w:t>
      </w:r>
      <w:r>
        <w:rPr>
          <w:rFonts w:hint="eastAsia" w:ascii="Times New Roman" w:hAnsi="Times New Roman" w:cs="Times New Roman"/>
          <w:color w:val="auto"/>
          <w:highlight w:val="none"/>
        </w:rPr>
        <w:t>能力、</w:t>
      </w:r>
      <w:r>
        <w:rPr>
          <w:rFonts w:ascii="Times New Roman" w:hAnsi="Times New Roman" w:cs="Times New Roman"/>
          <w:color w:val="auto"/>
          <w:highlight w:val="none"/>
        </w:rPr>
        <w:t>信誉等要求。</w:t>
      </w:r>
    </w:p>
    <w:p w14:paraId="65ECD3E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响应文件的编制</w:t>
      </w:r>
    </w:p>
    <w:p w14:paraId="3027999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响应文件应按“响应文件格式”进行编写，如有必要，可以增加附页，作为响应文件的组成部分。</w:t>
      </w:r>
    </w:p>
    <w:p w14:paraId="5DA2F54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.2 响应文件应当对询比文件有关工期、响应有效期、质量要求、技术标准和要求、</w:t>
      </w:r>
      <w:r>
        <w:rPr>
          <w:rFonts w:hint="eastAsia" w:ascii="Times New Roman" w:hAnsi="Times New Roman" w:cs="Times New Roman"/>
          <w:color w:val="auto"/>
          <w:highlight w:val="none"/>
        </w:rPr>
        <w:t>采购范围</w:t>
      </w:r>
      <w:r>
        <w:rPr>
          <w:rFonts w:ascii="Times New Roman" w:hAnsi="Times New Roman" w:cs="Times New Roman"/>
          <w:color w:val="auto"/>
          <w:highlight w:val="none"/>
        </w:rPr>
        <w:t>等实质性内容作出响应。</w:t>
      </w:r>
    </w:p>
    <w:p w14:paraId="1318E4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.3响应文件的制作应满足以下规定：</w:t>
      </w:r>
    </w:p>
    <w:p w14:paraId="50443ED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格式”的要求进行</w:t>
      </w:r>
      <w:r>
        <w:rPr>
          <w:rFonts w:hint="eastAsia" w:ascii="Times New Roman" w:hAnsi="Times New Roman" w:cs="Times New Roman"/>
          <w:color w:val="auto"/>
          <w:highlight w:val="none"/>
        </w:rPr>
        <w:t>签名</w:t>
      </w:r>
      <w:r>
        <w:rPr>
          <w:rFonts w:ascii="Times New Roman" w:hAnsi="Times New Roman" w:cs="Times New Roman"/>
          <w:color w:val="auto"/>
          <w:highlight w:val="none"/>
        </w:rPr>
        <w:t>和（或）盖章。</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rPr>
        <w:t>供应商</w:t>
      </w:r>
      <w:r>
        <w:rPr>
          <w:rFonts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rPr>
        <w:t>签名</w:t>
      </w:r>
      <w:r>
        <w:rPr>
          <w:rFonts w:ascii="Times New Roman" w:hAnsi="Times New Roman" w:cs="Times New Roman"/>
          <w:color w:val="auto"/>
          <w:highlight w:val="none"/>
        </w:rPr>
        <w:t>或盖单位章。</w:t>
      </w:r>
    </w:p>
    <w:p w14:paraId="54B361CC">
      <w:pPr>
        <w:spacing w:line="440" w:lineRule="exact"/>
        <w:ind w:firstLine="420"/>
        <w:rPr>
          <w:rFonts w:hint="default" w:ascii="Times New Roman" w:hAnsi="Times New Roman" w:cs="Times New Roman" w:eastAsiaTheme="minorEastAsia"/>
          <w:color w:val="auto"/>
          <w:highlight w:val="none"/>
          <w:lang w:val="en-US" w:eastAsia="zh-CN"/>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响应文件正本一份，副本一份。正本和副本的封面右上角上应清楚地标记“正本”和“副本”的字样。当副本与正本不一致时，以正本文件为准。</w:t>
      </w:r>
    </w:p>
    <w:p w14:paraId="1C638264">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响应文件的正本与副本应分别装订。</w:t>
      </w:r>
    </w:p>
    <w:p w14:paraId="021728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响应文件其他要求见供应商须知前附表</w:t>
      </w:r>
      <w:r>
        <w:rPr>
          <w:rFonts w:ascii="Times New Roman" w:hAnsi="Times New Roman" w:cs="Times New Roman"/>
          <w:color w:val="auto"/>
          <w:highlight w:val="none"/>
        </w:rPr>
        <w:t>。</w:t>
      </w:r>
    </w:p>
    <w:p w14:paraId="41B54B5B">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 响应文件的递交</w:t>
      </w:r>
    </w:p>
    <w:p w14:paraId="3FE11A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4.1响应文件的密封和标记</w:t>
      </w:r>
    </w:p>
    <w:p w14:paraId="3FE0F030">
      <w:pPr>
        <w:spacing w:line="440" w:lineRule="exact"/>
        <w:ind w:firstLine="42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4.1.1响应文件</w:t>
      </w:r>
      <w:r>
        <w:rPr>
          <w:rFonts w:hint="eastAsia" w:ascii="Times New Roman" w:hAnsi="Times New Roman" w:cs="Times New Roman"/>
          <w:color w:val="auto"/>
          <w:highlight w:val="none"/>
        </w:rPr>
        <w:t>正、副本</w:t>
      </w:r>
      <w:r>
        <w:rPr>
          <w:rFonts w:ascii="Times New Roman" w:hAnsi="Times New Roman" w:cs="Times New Roman"/>
          <w:color w:val="auto"/>
          <w:highlight w:val="none"/>
        </w:rPr>
        <w:t>应密封包装</w:t>
      </w:r>
      <w:r>
        <w:rPr>
          <w:rFonts w:hint="eastAsia" w:ascii="Times New Roman" w:hAnsi="Times New Roman" w:cs="Times New Roman"/>
          <w:color w:val="auto"/>
          <w:highlight w:val="none"/>
        </w:rPr>
        <w:t>在一个封套内，</w:t>
      </w:r>
      <w:r>
        <w:rPr>
          <w:rFonts w:hint="eastAsia" w:ascii="Times New Roman" w:hAnsi="Times New Roman" w:cs="Times New Roman"/>
          <w:color w:val="auto"/>
          <w:highlight w:val="none"/>
          <w:lang w:val="en-US" w:eastAsia="zh-CN"/>
        </w:rPr>
        <w:t>第一信封（商务技术文件）与第二信封（报价文件）分开密封。</w:t>
      </w:r>
    </w:p>
    <w:p w14:paraId="2CFD1BFA">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响应文件第一信封（商务技术文件）</w:t>
      </w:r>
      <w:r>
        <w:rPr>
          <w:rFonts w:hint="eastAsia" w:ascii="Times New Roman" w:hAnsi="Times New Roman" w:cs="Times New Roman"/>
          <w:color w:val="auto"/>
          <w:highlight w:val="none"/>
        </w:rPr>
        <w:t>封套上注明：</w:t>
      </w:r>
    </w:p>
    <w:p w14:paraId="56AD3A6B">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70CA2101">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)第一信封（商务及技术文件）响应文件</w:t>
      </w:r>
    </w:p>
    <w:p w14:paraId="7EC4C2ED">
      <w:pPr>
        <w:spacing w:beforeLines="0" w:afterLines="0" w:line="440" w:lineRule="exact"/>
        <w:ind w:firstLine="42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年</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月</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日</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时</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分（递交响应文件的截止时间）前不得开启</w:t>
      </w:r>
    </w:p>
    <w:p w14:paraId="31EDF993">
      <w:pPr>
        <w:spacing w:beforeLines="0" w:afterLines="0"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响应文件第二信封（报价文件）封套上注明：</w:t>
      </w:r>
    </w:p>
    <w:p w14:paraId="5CA1BE12">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670FE7AD">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)第二信封（报价文件）响应文件</w:t>
      </w:r>
    </w:p>
    <w:p w14:paraId="75132FF8">
      <w:pPr>
        <w:spacing w:beforeLines="0" w:afterLines="0" w:line="440" w:lineRule="exact"/>
        <w:ind w:firstLine="420" w:firstLineChars="20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在第一信封开启前不得开启</w:t>
      </w:r>
    </w:p>
    <w:p w14:paraId="27F170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1EE217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49B236A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7FCB9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005617BE">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08BBFF59">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102280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344E1A2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的规定进行启封</w:t>
      </w:r>
      <w:r>
        <w:rPr>
          <w:rFonts w:ascii="Times New Roman" w:hAnsi="Times New Roman" w:cs="Times New Roman"/>
          <w:color w:val="auto"/>
          <w:highlight w:val="none"/>
        </w:rPr>
        <w:t>。</w:t>
      </w:r>
    </w:p>
    <w:p w14:paraId="3921A52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14:paraId="54B4CD7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rPr>
        <w:t>启封</w:t>
      </w:r>
      <w:r>
        <w:rPr>
          <w:rFonts w:ascii="Times New Roman" w:hAnsi="Times New Roman" w:eastAsia="黑体" w:cs="Times New Roman"/>
          <w:bCs/>
          <w:color w:val="auto"/>
          <w:sz w:val="24"/>
          <w:szCs w:val="32"/>
          <w:highlight w:val="none"/>
        </w:rPr>
        <w:t>程序</w:t>
      </w:r>
    </w:p>
    <w:p w14:paraId="2322EB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14:paraId="0C75AA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w:t>
      </w:r>
      <w:r>
        <w:rPr>
          <w:rFonts w:hint="eastAsia" w:ascii="Times New Roman" w:hAnsi="Times New Roman" w:cs="Times New Roman"/>
          <w:color w:val="auto"/>
          <w:highlight w:val="none"/>
        </w:rPr>
        <w:t>前</w:t>
      </w:r>
      <w:r>
        <w:rPr>
          <w:rFonts w:ascii="Times New Roman" w:hAnsi="Times New Roman" w:cs="Times New Roman"/>
          <w:color w:val="auto"/>
          <w:highlight w:val="none"/>
        </w:rPr>
        <w:t>递交响应文件的供应商名称；</w:t>
      </w:r>
    </w:p>
    <w:p w14:paraId="31DCB4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14:paraId="4E90B9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color w:val="auto"/>
          <w:highlight w:val="none"/>
        </w:rPr>
        <w:t>（3）</w:t>
      </w:r>
      <w:r>
        <w:rPr>
          <w:rFonts w:hint="eastAsia" w:ascii="Times New Roman" w:hAnsi="Times New Roman" w:cs="Times New Roman"/>
          <w:bCs/>
          <w:color w:val="auto"/>
          <w:highlight w:val="none"/>
          <w:lang w:val="en-US" w:eastAsia="zh-CN"/>
        </w:rPr>
        <w:t>开启商务技术文件</w:t>
      </w:r>
      <w:r>
        <w:rPr>
          <w:rFonts w:ascii="Times New Roman" w:hAnsi="Times New Roman" w:cs="Times New Roman"/>
          <w:bCs/>
          <w:color w:val="auto"/>
          <w:highlight w:val="none"/>
        </w:rPr>
        <w:t>；</w:t>
      </w:r>
    </w:p>
    <w:p w14:paraId="14FBDF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color w:val="auto"/>
          <w:highlight w:val="none"/>
          <w:lang w:val="en-US" w:eastAsia="zh-CN"/>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4</w:t>
      </w:r>
      <w:r>
        <w:rPr>
          <w:rFonts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开启报价文件；</w:t>
      </w:r>
    </w:p>
    <w:p w14:paraId="0748C0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5</w:t>
      </w:r>
      <w:r>
        <w:rPr>
          <w:rFonts w:ascii="Times New Roman" w:hAnsi="Times New Roman" w:cs="Times New Roman"/>
          <w:bCs/>
          <w:color w:val="auto"/>
          <w:highlight w:val="none"/>
        </w:rPr>
        <w:t>）</w:t>
      </w:r>
      <w:r>
        <w:rPr>
          <w:rFonts w:hint="eastAsia" w:ascii="Times New Roman" w:hAnsi="Times New Roman" w:cs="Times New Roman"/>
          <w:bCs/>
          <w:color w:val="auto"/>
          <w:highlight w:val="none"/>
        </w:rPr>
        <w:t>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14:paraId="3AB58E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bCs/>
          <w:color w:val="auto"/>
          <w:highlight w:val="none"/>
        </w:rPr>
        <w:t>5.2.2</w:t>
      </w:r>
      <w:r>
        <w:rPr>
          <w:rFonts w:ascii="Times New Roman" w:hAnsi="Times New Roman" w:cs="Times New Roman"/>
          <w:color w:val="auto"/>
          <w:highlight w:val="none"/>
        </w:rPr>
        <w:t>供应商</w:t>
      </w:r>
      <w:r>
        <w:rPr>
          <w:rFonts w:hint="eastAsia" w:ascii="Times New Roman" w:hAnsi="Times New Roman" w:cs="Times New Roman"/>
          <w:color w:val="auto"/>
          <w:highlight w:val="none"/>
        </w:rPr>
        <w:t>在</w:t>
      </w:r>
      <w:r>
        <w:rPr>
          <w:rFonts w:ascii="Times New Roman" w:hAnsi="Times New Roman" w:cs="Times New Roman"/>
          <w:color w:val="auto"/>
          <w:highlight w:val="none"/>
        </w:rPr>
        <w:t>启封过程</w:t>
      </w:r>
      <w:r>
        <w:rPr>
          <w:rFonts w:hint="eastAsia" w:ascii="Times New Roman" w:hAnsi="Times New Roman" w:cs="Times New Roman"/>
          <w:color w:val="auto"/>
          <w:highlight w:val="none"/>
        </w:rPr>
        <w:t>中</w:t>
      </w:r>
      <w:r>
        <w:rPr>
          <w:rFonts w:ascii="Times New Roman" w:hAnsi="Times New Roman" w:cs="Times New Roman"/>
          <w:color w:val="auto"/>
          <w:highlight w:val="none"/>
        </w:rPr>
        <w:t>有</w:t>
      </w:r>
      <w:r>
        <w:rPr>
          <w:rFonts w:hint="eastAsia" w:ascii="Times New Roman" w:hAnsi="Times New Roman" w:cs="Times New Roman"/>
          <w:color w:val="auto"/>
          <w:highlight w:val="none"/>
        </w:rPr>
        <w:t>疑问</w:t>
      </w:r>
      <w:r>
        <w:rPr>
          <w:rFonts w:ascii="Times New Roman" w:hAnsi="Times New Roman" w:cs="Times New Roman"/>
          <w:color w:val="auto"/>
          <w:highlight w:val="none"/>
        </w:rPr>
        <w:t>的，应当在</w:t>
      </w:r>
      <w:r>
        <w:rPr>
          <w:rFonts w:hint="eastAsia" w:ascii="Times New Roman" w:hAnsi="Times New Roman" w:cs="Times New Roman"/>
          <w:color w:val="auto"/>
          <w:highlight w:val="none"/>
        </w:rPr>
        <w:t>现场</w:t>
      </w:r>
      <w:r>
        <w:rPr>
          <w:rFonts w:ascii="Times New Roman" w:hAnsi="Times New Roman" w:cs="Times New Roman"/>
          <w:color w:val="auto"/>
          <w:highlight w:val="none"/>
        </w:rPr>
        <w:t>提出</w:t>
      </w:r>
      <w:r>
        <w:rPr>
          <w:rFonts w:hint="eastAsia" w:ascii="Times New Roman" w:hAnsi="Times New Roman" w:cs="Times New Roman"/>
          <w:color w:val="auto"/>
          <w:highlight w:val="none"/>
        </w:rPr>
        <w:t>，</w:t>
      </w:r>
      <w:r>
        <w:rPr>
          <w:rFonts w:ascii="Times New Roman" w:hAnsi="Times New Roman" w:cs="Times New Roman"/>
          <w:color w:val="auto"/>
          <w:highlight w:val="none"/>
        </w:rPr>
        <w:t>采购人</w:t>
      </w:r>
      <w:r>
        <w:rPr>
          <w:rFonts w:hint="eastAsia" w:ascii="Times New Roman" w:hAnsi="Times New Roman" w:cs="Times New Roman"/>
          <w:color w:val="auto"/>
          <w:highlight w:val="none"/>
        </w:rPr>
        <w:t>将</w:t>
      </w:r>
      <w:r>
        <w:rPr>
          <w:rFonts w:ascii="Times New Roman" w:hAnsi="Times New Roman" w:cs="Times New Roman"/>
          <w:color w:val="auto"/>
          <w:highlight w:val="none"/>
        </w:rPr>
        <w:t>当场作出答复。</w:t>
      </w:r>
    </w:p>
    <w:p w14:paraId="0D6A9CA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 评审</w:t>
      </w:r>
    </w:p>
    <w:p w14:paraId="102C147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6.1</w:t>
      </w:r>
      <w:r>
        <w:rPr>
          <w:rFonts w:hint="eastAsia" w:ascii="Times New Roman" w:hAnsi="Times New Roman" w:eastAsia="黑体" w:cs="Times New Roman"/>
          <w:bCs/>
          <w:color w:val="auto"/>
          <w:sz w:val="24"/>
          <w:szCs w:val="32"/>
          <w:highlight w:val="none"/>
        </w:rPr>
        <w:t>评审小组</w:t>
      </w:r>
    </w:p>
    <w:p w14:paraId="2AA5DC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w:t>
      </w:r>
      <w:r>
        <w:rPr>
          <w:rFonts w:hint="eastAsia" w:ascii="Times New Roman" w:hAnsi="Times New Roman" w:cs="Times New Roman"/>
          <w:color w:val="auto"/>
          <w:highlight w:val="none"/>
        </w:rPr>
        <w:t>自行</w:t>
      </w:r>
      <w:r>
        <w:rPr>
          <w:rFonts w:ascii="Times New Roman" w:hAnsi="Times New Roman" w:cs="Times New Roman"/>
          <w:color w:val="auto"/>
          <w:highlight w:val="none"/>
        </w:rPr>
        <w:t>组建的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负责。</w:t>
      </w:r>
      <w:r>
        <w:rPr>
          <w:rFonts w:hint="eastAsia" w:ascii="Times New Roman" w:hAnsi="Times New Roman" w:cs="Times New Roman"/>
          <w:color w:val="auto"/>
          <w:highlight w:val="none"/>
        </w:rPr>
        <w:t>评审小组人数：3</w:t>
      </w:r>
      <w:r>
        <w:rPr>
          <w:rFonts w:hint="eastAsia" w:ascii="Times New Roman" w:hAnsi="Times New Roman" w:cs="Times New Roman"/>
          <w:color w:val="auto"/>
          <w:highlight w:val="none"/>
          <w:lang w:val="en-US" w:eastAsia="zh-CN"/>
        </w:rPr>
        <w:t>人及以上单数</w:t>
      </w:r>
      <w:r>
        <w:rPr>
          <w:rFonts w:ascii="Times New Roman" w:hAnsi="Times New Roman" w:cs="Times New Roman"/>
          <w:color w:val="auto"/>
          <w:highlight w:val="none"/>
        </w:rPr>
        <w:t>。</w:t>
      </w:r>
    </w:p>
    <w:p w14:paraId="15AF268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评审</w:t>
      </w:r>
    </w:p>
    <w:p w14:paraId="27F9FC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.1</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按照第三章“评审办法”规定的方法、评审因素、标准和程序对响应文件进行评审。</w:t>
      </w:r>
    </w:p>
    <w:p w14:paraId="4B8535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.2评审完成后，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B34DD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2CDE5AF">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 合同授予</w:t>
      </w:r>
    </w:p>
    <w:p w14:paraId="2CE05E9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7.1成交候选人公示</w:t>
      </w:r>
    </w:p>
    <w:p w14:paraId="26416C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日。</w:t>
      </w:r>
    </w:p>
    <w:p w14:paraId="40AD678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7.2评审结果异议</w:t>
      </w:r>
    </w:p>
    <w:p w14:paraId="719041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供应商或其他利害关系人对评审结果有异议的，应在成交候选人公示期间提出。</w:t>
      </w:r>
    </w:p>
    <w:p w14:paraId="5DD6687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7.3成交候选人履约能力审查</w:t>
      </w:r>
    </w:p>
    <w:p w14:paraId="7BA46D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按照询比文件规定的标准和方法进行审查确认。</w:t>
      </w:r>
    </w:p>
    <w:p w14:paraId="158EB4C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7.4履约保证金</w:t>
      </w:r>
    </w:p>
    <w:p w14:paraId="465091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rPr>
        <w:t>7.4.1</w:t>
      </w:r>
      <w:r>
        <w:rPr>
          <w:rFonts w:hint="eastAsia" w:ascii="Times New Roman" w:hAnsi="Times New Roman" w:cs="Times New Roman"/>
          <w:color w:val="auto"/>
          <w:highlight w:val="none"/>
          <w:lang w:val="en-US" w:eastAsia="zh-CN"/>
        </w:rPr>
        <w:t>成交公示</w:t>
      </w:r>
      <w:r>
        <w:rPr>
          <w:rFonts w:hint="eastAsia" w:ascii="Times New Roman" w:hAnsi="Times New Roman" w:cs="Times New Roman"/>
          <w:color w:val="auto"/>
          <w:highlight w:val="none"/>
        </w:rPr>
        <w:t>后，</w:t>
      </w:r>
      <w:r>
        <w:rPr>
          <w:rFonts w:hint="eastAsia" w:ascii="Times New Roman" w:hAnsi="Times New Roman" w:cs="Times New Roman"/>
          <w:color w:val="auto"/>
          <w:highlight w:val="none"/>
          <w:lang w:eastAsia="zh-CN"/>
        </w:rPr>
        <w:t>在</w:t>
      </w:r>
      <w:r>
        <w:rPr>
          <w:rFonts w:hint="eastAsia" w:ascii="Times New Roman" w:hAnsi="Times New Roman" w:cs="Times New Roman"/>
          <w:color w:val="auto"/>
          <w:highlight w:val="none"/>
          <w:lang w:val="en-US" w:eastAsia="zh-CN"/>
        </w:rPr>
        <w:t>合同签订前，乙方需向甲方支付合同总价2%的</w:t>
      </w:r>
      <w:r>
        <w:rPr>
          <w:rFonts w:hint="eastAsia" w:ascii="Times New Roman" w:hAnsi="Times New Roman" w:cs="Times New Roman"/>
          <w:color w:val="auto"/>
          <w:highlight w:val="none"/>
        </w:rPr>
        <w:t>履约保证金</w:t>
      </w:r>
      <w:r>
        <w:rPr>
          <w:rFonts w:hint="eastAsia" w:ascii="Times New Roman" w:hAnsi="Times New Roman" w:cs="Times New Roman"/>
          <w:color w:val="auto"/>
          <w:highlight w:val="none"/>
          <w:lang w:val="en-US" w:eastAsia="zh-CN"/>
        </w:rPr>
        <w:t>或提供合同总价5%的银行保函</w:t>
      </w:r>
      <w:r>
        <w:rPr>
          <w:rFonts w:hint="eastAsia" w:ascii="Times New Roman" w:hAnsi="Times New Roman" w:cs="Times New Roman"/>
          <w:color w:val="auto"/>
          <w:highlight w:val="none"/>
        </w:rPr>
        <w:t>。</w:t>
      </w:r>
    </w:p>
    <w:p w14:paraId="52A859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7.4.2 成交人不能按本章第7.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.1项要求提交履约保证金的，视为放弃成交候选人，其响应保证金不予退还，给采购人造成的损失超过响应保证金数额的，成交人还应当对超过部分予以赔偿。</w:t>
      </w:r>
    </w:p>
    <w:p w14:paraId="659EEF69">
      <w:pPr>
        <w:pStyle w:val="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Times New Roman" w:hAnsi="Times New Roman" w:cs="Times New Roman"/>
          <w:color w:val="auto"/>
          <w:highlight w:val="none"/>
        </w:rPr>
        <w:t>7.4.3履约保证金在</w:t>
      </w:r>
      <w:r>
        <w:rPr>
          <w:rFonts w:hint="eastAsia" w:ascii="宋体" w:hAnsi="宋体" w:eastAsia="宋体" w:cs="宋体"/>
          <w:color w:val="auto"/>
          <w:kern w:val="2"/>
          <w:sz w:val="21"/>
          <w:szCs w:val="21"/>
          <w:highlight w:val="none"/>
          <w:lang w:val="en-US" w:eastAsia="zh-CN" w:bidi="ar-SA"/>
        </w:rPr>
        <w:t>该项目物资供应整体验收完成后28天内无息退还。</w:t>
      </w:r>
    </w:p>
    <w:bookmarkEnd w:id="42"/>
    <w:bookmarkEnd w:id="43"/>
    <w:bookmarkEnd w:id="44"/>
    <w:p w14:paraId="66FE727A">
      <w:pPr>
        <w:keepNext/>
        <w:keepLines/>
        <w:spacing w:before="120" w:after="120"/>
        <w:outlineLvl w:val="2"/>
        <w:rPr>
          <w:rFonts w:hint="default" w:ascii="Times New Roman" w:hAnsi="Times New Roman" w:eastAsia="Times New Roman"/>
          <w:color w:val="auto"/>
          <w:sz w:val="24"/>
          <w:szCs w:val="32"/>
          <w:highlight w:val="none"/>
        </w:rPr>
      </w:pPr>
      <w:bookmarkStart w:id="45" w:name="_Toc14201253"/>
      <w:bookmarkStart w:id="46" w:name="_Toc26656984"/>
      <w:r>
        <w:rPr>
          <w:rFonts w:hint="default" w:ascii="Times New Roman" w:hAnsi="Times New Roman" w:eastAsia="Times New Roman"/>
          <w:color w:val="auto"/>
          <w:sz w:val="24"/>
          <w:szCs w:val="32"/>
          <w:highlight w:val="none"/>
        </w:rPr>
        <w:t>7.5</w:t>
      </w:r>
      <w:r>
        <w:rPr>
          <w:rFonts w:hint="eastAsia" w:ascii="Times New Roman" w:hAnsi="Times New Roman" w:eastAsia="黑体"/>
          <w:color w:val="auto"/>
          <w:sz w:val="24"/>
          <w:szCs w:val="32"/>
          <w:highlight w:val="none"/>
        </w:rPr>
        <w:t>签订合同</w:t>
      </w:r>
      <w:bookmarkEnd w:id="45"/>
      <w:bookmarkEnd w:id="46"/>
    </w:p>
    <w:p w14:paraId="4F35551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CF5C870">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47" w:name="_Toc26656988"/>
      <w:bookmarkStart w:id="48" w:name="_Toc14201257"/>
      <w:bookmarkStart w:id="49" w:name="_Toc9067727"/>
      <w:r>
        <w:rPr>
          <w:rFonts w:hint="default" w:ascii="Times New Roman" w:hAnsi="Times New Roman" w:eastAsia="Times New Roman"/>
          <w:color w:val="auto"/>
          <w:sz w:val="24"/>
          <w:szCs w:val="32"/>
          <w:highlight w:val="none"/>
        </w:rPr>
        <w:t xml:space="preserve">8. </w:t>
      </w:r>
      <w:r>
        <w:rPr>
          <w:rFonts w:hint="eastAsia" w:ascii="Times New Roman" w:hAnsi="Times New Roman" w:eastAsia="黑体"/>
          <w:color w:val="auto"/>
          <w:sz w:val="24"/>
          <w:szCs w:val="32"/>
          <w:highlight w:val="none"/>
        </w:rPr>
        <w:t>纪律和监督</w:t>
      </w:r>
      <w:bookmarkEnd w:id="47"/>
      <w:bookmarkEnd w:id="48"/>
      <w:bookmarkEnd w:id="49"/>
    </w:p>
    <w:p w14:paraId="30C4FC61">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3DD0CEC6">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0" w:name="_Toc14201262"/>
      <w:bookmarkStart w:id="51" w:name="_Toc26656993"/>
      <w:r>
        <w:rPr>
          <w:rFonts w:hint="eastAsia" w:ascii="Times New Roman" w:hAnsi="Times New Roman" w:eastAsia="黑体"/>
          <w:color w:val="auto"/>
          <w:sz w:val="24"/>
          <w:szCs w:val="32"/>
          <w:highlight w:val="none"/>
        </w:rPr>
        <w:t>9</w:t>
      </w:r>
      <w:r>
        <w:rPr>
          <w:rFonts w:hint="default" w:ascii="Times New Roman" w:hAnsi="Times New Roman" w:eastAsia="Times New Roman"/>
          <w:color w:val="auto"/>
          <w:sz w:val="24"/>
          <w:szCs w:val="32"/>
          <w:highlight w:val="none"/>
        </w:rPr>
        <w:t xml:space="preserve"> </w:t>
      </w:r>
      <w:r>
        <w:rPr>
          <w:rFonts w:hint="eastAsia" w:ascii="Times New Roman" w:hAnsi="Times New Roman" w:eastAsia="宋体"/>
          <w:color w:val="auto"/>
          <w:sz w:val="24"/>
          <w:szCs w:val="32"/>
          <w:highlight w:val="none"/>
          <w:lang w:val="en-US" w:eastAsia="zh-CN"/>
        </w:rPr>
        <w:t>.</w:t>
      </w:r>
      <w:r>
        <w:rPr>
          <w:rFonts w:hint="eastAsia" w:ascii="Times New Roman" w:hAnsi="Times New Roman" w:eastAsia="黑体"/>
          <w:color w:val="auto"/>
          <w:sz w:val="24"/>
          <w:szCs w:val="32"/>
          <w:highlight w:val="none"/>
        </w:rPr>
        <w:t>投诉</w:t>
      </w:r>
      <w:bookmarkEnd w:id="50"/>
      <w:bookmarkEnd w:id="51"/>
    </w:p>
    <w:p w14:paraId="0D14997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.1 </w:t>
      </w:r>
      <w:r>
        <w:rPr>
          <w:rFonts w:hint="eastAsia" w:ascii="Times New Roman" w:hAnsi="Times New Roman"/>
          <w:color w:val="auto"/>
          <w:sz w:val="21"/>
          <w:szCs w:val="24"/>
          <w:highlight w:val="none"/>
        </w:rPr>
        <w:t>供应商或其他利害关系人认为询比活动不符合法律法规规定的，可以自知道或应当知道之日起10日内向有关监督部门投诉。投诉应有明确的请求和必要的证明材料。</w:t>
      </w:r>
    </w:p>
    <w:p w14:paraId="41CC77B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.2 </w:t>
      </w:r>
      <w:r>
        <w:rPr>
          <w:rFonts w:hint="eastAsia" w:ascii="Times New Roman" w:hAnsi="Times New Roman"/>
          <w:color w:val="auto"/>
          <w:sz w:val="21"/>
          <w:szCs w:val="24"/>
          <w:highlight w:val="none"/>
        </w:rPr>
        <w:t>监督部门及联系方式：_____/__。</w:t>
      </w:r>
    </w:p>
    <w:p w14:paraId="681424AE">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2" w:name="_Toc9067731"/>
      <w:bookmarkStart w:id="53" w:name="_Toc26656994"/>
      <w:bookmarkStart w:id="54" w:name="_Toc14201263"/>
      <w:r>
        <w:rPr>
          <w:rFonts w:hint="eastAsia" w:ascii="Times New Roman" w:hAnsi="Times New Roman" w:eastAsia="黑体"/>
          <w:color w:val="auto"/>
          <w:sz w:val="24"/>
          <w:szCs w:val="32"/>
          <w:highlight w:val="none"/>
        </w:rPr>
        <w:t>10</w:t>
      </w:r>
      <w:r>
        <w:rPr>
          <w:rFonts w:hint="default" w:ascii="Times New Roman" w:hAnsi="Times New Roman" w:eastAsia="Times New Roman"/>
          <w:color w:val="auto"/>
          <w:sz w:val="24"/>
          <w:szCs w:val="32"/>
          <w:highlight w:val="none"/>
        </w:rPr>
        <w:t>.</w:t>
      </w:r>
      <w:r>
        <w:rPr>
          <w:rFonts w:hint="eastAsia" w:ascii="Times New Roman" w:hAnsi="Times New Roman" w:eastAsia="黑体"/>
          <w:color w:val="auto"/>
          <w:sz w:val="24"/>
          <w:szCs w:val="32"/>
          <w:highlight w:val="none"/>
        </w:rPr>
        <w:t xml:space="preserve"> 需要补充的其他内容</w:t>
      </w:r>
      <w:bookmarkEnd w:id="52"/>
      <w:bookmarkEnd w:id="53"/>
      <w:bookmarkEnd w:id="54"/>
    </w:p>
    <w:p w14:paraId="5AB5C0D9">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需要补充的其他内容：__/___。</w:t>
      </w:r>
    </w:p>
    <w:p w14:paraId="3ED9671A">
      <w:pPr>
        <w:spacing w:line="440" w:lineRule="exact"/>
        <w:ind w:firstLine="420"/>
        <w:rPr>
          <w:rFonts w:hint="eastAsia" w:ascii="Times New Roman" w:hAnsi="Times New Roman"/>
          <w:color w:val="auto"/>
          <w:sz w:val="21"/>
          <w:szCs w:val="24"/>
          <w:highlight w:val="none"/>
        </w:rPr>
      </w:pPr>
    </w:p>
    <w:p w14:paraId="7FBD1ACA">
      <w:pPr>
        <w:spacing w:line="440" w:lineRule="exact"/>
        <w:ind w:firstLine="420"/>
        <w:rPr>
          <w:rFonts w:hint="eastAsia" w:ascii="Times New Roman" w:hAnsi="Times New Roman"/>
          <w:color w:val="auto"/>
          <w:sz w:val="21"/>
          <w:szCs w:val="24"/>
          <w:highlight w:val="none"/>
        </w:rPr>
      </w:pPr>
    </w:p>
    <w:p w14:paraId="73C8FF4F">
      <w:pPr>
        <w:spacing w:line="440" w:lineRule="exact"/>
        <w:ind w:firstLine="420"/>
        <w:rPr>
          <w:rFonts w:hint="eastAsia" w:ascii="Times New Roman" w:hAnsi="Times New Roman"/>
          <w:color w:val="auto"/>
          <w:sz w:val="21"/>
          <w:szCs w:val="24"/>
          <w:highlight w:val="none"/>
        </w:rPr>
      </w:pPr>
    </w:p>
    <w:p w14:paraId="19E26293">
      <w:pPr>
        <w:spacing w:line="440" w:lineRule="exact"/>
        <w:ind w:firstLine="420"/>
        <w:rPr>
          <w:rFonts w:hint="eastAsia" w:ascii="Times New Roman" w:hAnsi="Times New Roman"/>
          <w:color w:val="auto"/>
          <w:sz w:val="21"/>
          <w:szCs w:val="24"/>
          <w:highlight w:val="none"/>
        </w:rPr>
      </w:pPr>
    </w:p>
    <w:p w14:paraId="04721814">
      <w:pPr>
        <w:spacing w:line="440" w:lineRule="exact"/>
        <w:ind w:firstLine="420"/>
        <w:rPr>
          <w:rFonts w:hint="eastAsia" w:ascii="Times New Roman" w:hAnsi="Times New Roman"/>
          <w:color w:val="auto"/>
          <w:sz w:val="21"/>
          <w:szCs w:val="24"/>
          <w:highlight w:val="none"/>
        </w:rPr>
      </w:pPr>
    </w:p>
    <w:p w14:paraId="19444787">
      <w:pPr>
        <w:spacing w:line="440" w:lineRule="exact"/>
        <w:ind w:firstLine="420"/>
        <w:rPr>
          <w:rFonts w:hint="eastAsia" w:ascii="Times New Roman" w:hAnsi="Times New Roman"/>
          <w:color w:val="auto"/>
          <w:sz w:val="21"/>
          <w:szCs w:val="24"/>
          <w:highlight w:val="none"/>
        </w:rPr>
      </w:pPr>
    </w:p>
    <w:p w14:paraId="243F834A">
      <w:pPr>
        <w:spacing w:line="440" w:lineRule="exact"/>
        <w:ind w:firstLine="420"/>
        <w:rPr>
          <w:rFonts w:hint="eastAsia" w:ascii="Times New Roman" w:hAnsi="Times New Roman"/>
          <w:color w:val="auto"/>
          <w:sz w:val="21"/>
          <w:szCs w:val="24"/>
          <w:highlight w:val="none"/>
        </w:rPr>
      </w:pPr>
    </w:p>
    <w:p w14:paraId="6EE6A9DE">
      <w:pPr>
        <w:pStyle w:val="3"/>
        <w:spacing w:before="312" w:after="312"/>
        <w:rPr>
          <w:rFonts w:ascii="Times New Roman" w:hAnsi="Times New Roman" w:eastAsia="宋体" w:cs="Times New Roman"/>
          <w:color w:val="auto"/>
          <w:highlight w:val="none"/>
        </w:rPr>
      </w:pPr>
      <w:bookmarkStart w:id="55" w:name="_Toc27736"/>
      <w:r>
        <w:rPr>
          <w:rFonts w:ascii="Times New Roman" w:hAnsi="Times New Roman" w:eastAsia="宋体" w:cs="Times New Roman"/>
          <w:color w:val="auto"/>
          <w:highlight w:val="none"/>
        </w:rPr>
        <w:t>评审办法</w:t>
      </w:r>
      <w:bookmarkEnd w:id="55"/>
    </w:p>
    <w:p w14:paraId="31FD4C54">
      <w:pPr>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70D08D86">
      <w:pPr>
        <w:spacing w:afterLines="100" w:line="420" w:lineRule="exact"/>
        <w:jc w:val="center"/>
        <w:rPr>
          <w:rFonts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14:paraId="7284D543">
      <w:pPr>
        <w:pStyle w:val="37"/>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6" w:name="_Toc152042304"/>
      <w:bookmarkStart w:id="57" w:name="_Toc447808662"/>
      <w:bookmarkStart w:id="58" w:name="_Toc14847"/>
      <w:bookmarkStart w:id="59" w:name="_Toc457482536"/>
      <w:bookmarkStart w:id="60" w:name="_Toc3834"/>
      <w:bookmarkStart w:id="61" w:name="_Toc144974496"/>
      <w:bookmarkStart w:id="62" w:name="_Toc152045528"/>
      <w:r>
        <w:rPr>
          <w:rFonts w:hint="eastAsia" w:ascii="宋体" w:hAnsi="宋体" w:eastAsia="宋体"/>
          <w:b/>
          <w:bCs/>
          <w:color w:val="auto"/>
          <w:szCs w:val="28"/>
          <w:highlight w:val="none"/>
        </w:rPr>
        <w:t>前附表</w:t>
      </w:r>
      <w:bookmarkEnd w:id="56"/>
      <w:bookmarkEnd w:id="57"/>
      <w:bookmarkEnd w:id="58"/>
      <w:bookmarkEnd w:id="59"/>
      <w:bookmarkEnd w:id="60"/>
      <w:bookmarkEnd w:id="61"/>
      <w:bookmarkEnd w:id="62"/>
      <w:r>
        <w:rPr>
          <w:rFonts w:hint="eastAsia" w:ascii="宋体" w:hAnsi="宋体" w:eastAsia="宋体"/>
          <w:b/>
          <w:bCs/>
          <w:color w:val="auto"/>
          <w:szCs w:val="28"/>
          <w:highlight w:val="none"/>
        </w:rPr>
        <w:t>A</w:t>
      </w:r>
    </w:p>
    <w:tbl>
      <w:tblPr>
        <w:tblStyle w:val="21"/>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962"/>
        <w:gridCol w:w="1603"/>
        <w:gridCol w:w="5652"/>
      </w:tblGrid>
      <w:tr w14:paraId="234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5" w:type="pct"/>
            <w:gridSpan w:val="2"/>
            <w:vAlign w:val="center"/>
          </w:tcPr>
          <w:p w14:paraId="464B548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907" w:type="pct"/>
            <w:vAlign w:val="center"/>
          </w:tcPr>
          <w:p w14:paraId="5A15343F">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197" w:type="pct"/>
            <w:vAlign w:val="center"/>
          </w:tcPr>
          <w:p w14:paraId="34C52CE1">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4194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1" w:type="pct"/>
            <w:vAlign w:val="center"/>
          </w:tcPr>
          <w:p w14:paraId="4D03FC5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1"/>
                <w:szCs w:val="21"/>
                <w:highlight w:val="none"/>
              </w:rPr>
              <w:t>1</w:t>
            </w:r>
          </w:p>
        </w:tc>
        <w:tc>
          <w:tcPr>
            <w:tcW w:w="543" w:type="pct"/>
            <w:vAlign w:val="center"/>
          </w:tcPr>
          <w:p w14:paraId="0E431D8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评审方法</w:t>
            </w:r>
          </w:p>
        </w:tc>
        <w:tc>
          <w:tcPr>
            <w:tcW w:w="907" w:type="pct"/>
            <w:tcMar>
              <w:left w:w="75" w:type="dxa"/>
            </w:tcMar>
            <w:vAlign w:val="center"/>
          </w:tcPr>
          <w:p w14:paraId="1AF41DCF">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成交候选人</w:t>
            </w:r>
          </w:p>
          <w:p w14:paraId="1077CA80">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排序方法</w:t>
            </w:r>
          </w:p>
        </w:tc>
        <w:tc>
          <w:tcPr>
            <w:tcW w:w="3197" w:type="pct"/>
            <w:tcMar>
              <w:left w:w="75" w:type="dxa"/>
            </w:tcMar>
            <w:vAlign w:val="center"/>
          </w:tcPr>
          <w:p w14:paraId="5E985F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评审委员会对通过初步评审的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人的商务及技术文件进行评分，按得分由高到低排序确定前N名。对排名前N名的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人的报价文件进行评审，按照评标价由低到高的顺序推荐3名</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候选人。评标委员会按评标价由低到高顺序推荐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候选人，评标价相等时，评标委员会依次按照以下优先顺序推荐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 xml:space="preserve">候选人：  </w:t>
            </w:r>
          </w:p>
          <w:p w14:paraId="68377DF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（1）商务及技术文件得分较高的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453B0AE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文件提供的业绩数量多的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2245E7A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文件提供的业绩累计合同金额大的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tc>
      </w:tr>
    </w:tbl>
    <w:tbl>
      <w:tblPr>
        <w:tblStyle w:val="21"/>
        <w:tblpPr w:leftFromText="180" w:rightFromText="180" w:vertAnchor="text" w:horzAnchor="page" w:tblpX="1653" w:tblpY="175"/>
        <w:tblOverlap w:val="never"/>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26"/>
        <w:gridCol w:w="6289"/>
      </w:tblGrid>
      <w:tr w14:paraId="1466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33" w:type="dxa"/>
            <w:vAlign w:val="center"/>
          </w:tcPr>
          <w:p w14:paraId="7C373F5B">
            <w:pPr>
              <w:pStyle w:val="8"/>
              <w:keepNext w:val="0"/>
              <w:keepLines w:val="0"/>
              <w:suppressLineNumbers w:val="0"/>
              <w:adjustRightInd w:val="0"/>
              <w:snapToGrid w:val="0"/>
              <w:spacing w:before="0" w:beforeAutospacing="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626" w:type="dxa"/>
            <w:vAlign w:val="center"/>
          </w:tcPr>
          <w:p w14:paraId="3D3CBC7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通过商务及技术文件评审，打分前N名值的确定</w:t>
            </w:r>
          </w:p>
        </w:tc>
        <w:tc>
          <w:tcPr>
            <w:tcW w:w="6289" w:type="dxa"/>
            <w:vAlign w:val="center"/>
          </w:tcPr>
          <w:tbl>
            <w:tblPr>
              <w:tblStyle w:val="22"/>
              <w:tblpPr w:leftFromText="180" w:rightFromText="180" w:vertAnchor="text" w:horzAnchor="page" w:tblpX="366"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535"/>
            </w:tblGrid>
            <w:tr w14:paraId="621D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63CC51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通过资格审查的</w:t>
                  </w:r>
                  <w:r>
                    <w:rPr>
                      <w:rFonts w:hint="eastAsia" w:asciiTheme="minorEastAsia" w:hAnsiTheme="minorEastAsia" w:cstheme="minorEastAsia"/>
                      <w:color w:val="auto"/>
                      <w:sz w:val="21"/>
                      <w:szCs w:val="21"/>
                      <w:highlight w:val="none"/>
                      <w:vertAlign w:val="baseline"/>
                      <w:lang w:val="en-US" w:eastAsia="zh-CN"/>
                    </w:rPr>
                    <w:t>响应</w:t>
                  </w:r>
                  <w:r>
                    <w:rPr>
                      <w:rFonts w:hint="eastAsia" w:asciiTheme="minorEastAsia" w:hAnsiTheme="minorEastAsia" w:eastAsiaTheme="minorEastAsia" w:cstheme="minorEastAsia"/>
                      <w:color w:val="auto"/>
                      <w:sz w:val="21"/>
                      <w:szCs w:val="21"/>
                      <w:highlight w:val="none"/>
                      <w:vertAlign w:val="baseline"/>
                      <w:lang w:val="en-US" w:eastAsia="zh-CN"/>
                    </w:rPr>
                    <w:t>人数量（T）</w:t>
                  </w:r>
                </w:p>
              </w:tc>
              <w:tc>
                <w:tcPr>
                  <w:tcW w:w="2535" w:type="dxa"/>
                  <w:vAlign w:val="center"/>
                </w:tcPr>
                <w:p w14:paraId="5BB2E1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商务及技术文件评审打分排名（N）</w:t>
                  </w:r>
                </w:p>
              </w:tc>
            </w:tr>
            <w:tr w14:paraId="0C95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25EDF00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246EA5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N=5</w:t>
                  </w:r>
                </w:p>
              </w:tc>
            </w:tr>
            <w:tr w14:paraId="1E67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Align w:val="center"/>
                </w:tcPr>
                <w:p w14:paraId="2257601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3C51D4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N=4</w:t>
                  </w:r>
                </w:p>
              </w:tc>
            </w:tr>
            <w:tr w14:paraId="7DF9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35" w:type="dxa"/>
                  <w:vAlign w:val="center"/>
                </w:tcPr>
                <w:p w14:paraId="61B5C7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3≤T≤5</w:t>
                  </w:r>
                </w:p>
              </w:tc>
              <w:tc>
                <w:tcPr>
                  <w:tcW w:w="2535" w:type="dxa"/>
                  <w:vAlign w:val="center"/>
                </w:tcPr>
                <w:p w14:paraId="6BE872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N=3</w:t>
                  </w:r>
                </w:p>
              </w:tc>
            </w:tr>
          </w:tbl>
          <w:p w14:paraId="0478228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p>
          <w:p w14:paraId="14B4CF4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说明：如出现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人商务技术文件得分相同的情况，其名次并列为第 B 名，则排名在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人之后的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人的名次从第 B+A 名开始依次计列。 </w:t>
            </w:r>
          </w:p>
        </w:tc>
      </w:tr>
    </w:tbl>
    <w:p w14:paraId="72743B17">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1"/>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993"/>
        <w:gridCol w:w="7221"/>
      </w:tblGrid>
      <w:tr w14:paraId="6C4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2" w:type="pct"/>
            <w:gridSpan w:val="2"/>
            <w:vAlign w:val="center"/>
          </w:tcPr>
          <w:p w14:paraId="75560CC0">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4087" w:type="pct"/>
            <w:vAlign w:val="center"/>
          </w:tcPr>
          <w:p w14:paraId="3DBE86DA">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3C0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350" w:type="pct"/>
            <w:vAlign w:val="center"/>
          </w:tcPr>
          <w:p w14:paraId="69421C4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62" w:type="pct"/>
            <w:vAlign w:val="center"/>
          </w:tcPr>
          <w:p w14:paraId="52B3240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形式评审</w:t>
            </w:r>
          </w:p>
          <w:p w14:paraId="6DDC85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与响应性</w:t>
            </w:r>
          </w:p>
          <w:p w14:paraId="3C546A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评审标准</w:t>
            </w:r>
          </w:p>
          <w:p w14:paraId="120134FB">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Theme="minorEastAsia" w:hAnsiTheme="minorEastAsia" w:eastAsiaTheme="minorEastAsia" w:cstheme="minorEastAsia"/>
                <w:color w:val="auto"/>
                <w:kern w:val="0"/>
                <w:sz w:val="21"/>
                <w:szCs w:val="21"/>
                <w:highlight w:val="none"/>
                <w:lang w:eastAsia="zh-CN"/>
              </w:rPr>
            </w:pPr>
          </w:p>
        </w:tc>
        <w:tc>
          <w:tcPr>
            <w:tcW w:w="4087" w:type="pct"/>
            <w:tcMar>
              <w:left w:w="75" w:type="dxa"/>
            </w:tcMar>
            <w:vAlign w:val="center"/>
          </w:tcPr>
          <w:p w14:paraId="1C22CB1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第一个信封（商务及技术文件）评审标准： </w:t>
            </w:r>
          </w:p>
          <w:p w14:paraId="04364A6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（1）响应文件按照询比文件规定的格式、内容填写，字迹清晰可辨。 </w:t>
            </w:r>
          </w:p>
          <w:p w14:paraId="474499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（2）响应文件上法定代表人或其委托代理人的签字、供应商的单位盖章 </w:t>
            </w:r>
          </w:p>
          <w:p w14:paraId="419C92A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齐全，符合询比文件规定。 </w:t>
            </w:r>
          </w:p>
          <w:p w14:paraId="46FD4C1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人按照询比文件的规定提供了</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保证金。 </w:t>
            </w:r>
          </w:p>
          <w:p w14:paraId="7CDD7E7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（4）本项目不接受联合体</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638D20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文件。 </w:t>
            </w:r>
          </w:p>
          <w:p w14:paraId="422575F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b w:val="0"/>
                <w:bCs w:val="0"/>
                <w:color w:val="auto"/>
                <w:kern w:val="0"/>
                <w:sz w:val="21"/>
                <w:szCs w:val="21"/>
                <w:highlight w:val="none"/>
                <w:lang w:val="en-US" w:eastAsia="zh-CN" w:bidi="ar"/>
              </w:rPr>
              <w:t>商务及技术文件中未出现有关</w:t>
            </w:r>
            <w:r>
              <w:rPr>
                <w:rFonts w:hint="eastAsia" w:asciiTheme="minorEastAsia" w:hAnsiTheme="minorEastAsia" w:cstheme="minorEastAsia"/>
                <w:b w:val="0"/>
                <w:bCs w:val="0"/>
                <w:color w:val="auto"/>
                <w:kern w:val="0"/>
                <w:sz w:val="21"/>
                <w:szCs w:val="21"/>
                <w:highlight w:val="none"/>
                <w:lang w:val="en-US" w:eastAsia="zh-CN" w:bidi="ar"/>
              </w:rPr>
              <w:t>响应</w:t>
            </w:r>
            <w:r>
              <w:rPr>
                <w:rFonts w:hint="eastAsia" w:asciiTheme="minorEastAsia" w:hAnsiTheme="minorEastAsia" w:eastAsiaTheme="minorEastAsia" w:cstheme="minorEastAsia"/>
                <w:b w:val="0"/>
                <w:bCs w:val="0"/>
                <w:color w:val="auto"/>
                <w:kern w:val="0"/>
                <w:sz w:val="21"/>
                <w:szCs w:val="21"/>
                <w:highlight w:val="none"/>
                <w:lang w:val="en-US" w:eastAsia="zh-CN" w:bidi="ar"/>
              </w:rPr>
              <w:t>报价的内容。</w:t>
            </w:r>
          </w:p>
          <w:p w14:paraId="2B359B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人对其信誉情况的承诺与事实相符。 </w:t>
            </w:r>
          </w:p>
          <w:p w14:paraId="6D5023D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 xml:space="preserve">人不能接受的条件。 </w:t>
            </w:r>
          </w:p>
          <w:p w14:paraId="0CA24646">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（9）放置盖章版的响应文件扫描件（PDF版本）。</w:t>
            </w:r>
          </w:p>
          <w:p w14:paraId="6FFD6ED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第二个信封（报价文件）评审标准： </w:t>
            </w:r>
          </w:p>
          <w:p w14:paraId="4B765A3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（1）报价文件按照询比文件规定的格式、内容填写，字迹清晰可辨： </w:t>
            </w:r>
          </w:p>
          <w:p w14:paraId="4980B6F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a.按询比文件规定填报了采购人名称、项目名称、补遗书编号（如有）、</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价（包括大写金额和小写金额）； </w:t>
            </w:r>
          </w:p>
          <w:p w14:paraId="6A6E3E1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b.已标价工程量清单及说明文字与询比文件规定一致，未进行实质性修改和删减； </w:t>
            </w:r>
          </w:p>
          <w:p w14:paraId="42DECB3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c.工程量清单中的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报价与报价函大写金额报价一致； </w:t>
            </w:r>
          </w:p>
          <w:p w14:paraId="6C12B2F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d.报价文件组成齐全完整，内容均按规定填写。 </w:t>
            </w:r>
          </w:p>
          <w:p w14:paraId="25AA386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（2）报价文件上法定代表人或其委托代理人的签字、供应商的单位章盖章齐全，符合询比文件规定。 </w:t>
            </w:r>
          </w:p>
          <w:p w14:paraId="1758A85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报价未超过询比文件设定的最高</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限价。 </w:t>
            </w:r>
          </w:p>
          <w:p w14:paraId="569CFC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报价的大写金额能够确定具体数值。 </w:t>
            </w:r>
          </w:p>
          <w:p w14:paraId="4E1863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 </w:t>
            </w:r>
          </w:p>
          <w:p w14:paraId="2E73A96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人不能接受的条件。</w:t>
            </w:r>
          </w:p>
          <w:p w14:paraId="5402D87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（7）放置盖章版的报价文件扫描件（PDF版本）和报价清单电子版(EXCEL版)。</w:t>
            </w:r>
          </w:p>
        </w:tc>
      </w:tr>
      <w:tr w14:paraId="607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0" w:type="pct"/>
            <w:vAlign w:val="center"/>
          </w:tcPr>
          <w:p w14:paraId="129BC660">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62" w:type="pct"/>
            <w:vAlign w:val="center"/>
          </w:tcPr>
          <w:p w14:paraId="7B6116A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资格评审</w:t>
            </w:r>
          </w:p>
          <w:p w14:paraId="56129B8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4087" w:type="pct"/>
            <w:tcMar>
              <w:left w:w="75" w:type="dxa"/>
            </w:tcMar>
            <w:vAlign w:val="center"/>
          </w:tcPr>
          <w:p w14:paraId="23442AA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人具备有效的营业执照，具有独立完成本项目相关能力的生产厂家。  </w:t>
            </w:r>
          </w:p>
          <w:p w14:paraId="70E19DA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人的类似项目业绩符合询比文件规定。 </w:t>
            </w:r>
          </w:p>
          <w:p w14:paraId="352AC9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人的信誉符合询比文件规定。 </w:t>
            </w:r>
          </w:p>
        </w:tc>
      </w:tr>
      <w:tr w14:paraId="5755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3"/>
            <w:vAlign w:val="center"/>
          </w:tcPr>
          <w:p w14:paraId="3C87F417">
            <w:pPr>
              <w:keepNext w:val="0"/>
              <w:keepLines w:val="0"/>
              <w:widowControl/>
              <w:suppressLineNumbers w:val="0"/>
              <w:adjustRightInd w:val="0"/>
              <w:snapToGrid w:val="0"/>
              <w:spacing w:before="0" w:beforeAutospacing="0" w:after="0" w:afterAutospacing="0" w:line="360" w:lineRule="atLeas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响应文件不符合以上条件之一的，对该响应文件作否决其</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处理。</w:t>
            </w:r>
          </w:p>
        </w:tc>
      </w:tr>
    </w:tbl>
    <w:p w14:paraId="2936A21B">
      <w:pPr>
        <w:pStyle w:val="37"/>
        <w:numPr>
          <w:ilvl w:val="0"/>
          <w:numId w:val="0"/>
        </w:numPr>
        <w:spacing w:before="0"/>
        <w:outlineLvl w:val="9"/>
        <w:rPr>
          <w:rFonts w:hint="eastAsia" w:ascii="宋体" w:hAnsi="宋体" w:eastAsia="宋体" w:cs="宋体"/>
          <w:b/>
          <w:bCs/>
          <w:color w:val="auto"/>
          <w:szCs w:val="28"/>
          <w:highlight w:val="none"/>
        </w:rPr>
      </w:pPr>
    </w:p>
    <w:p w14:paraId="0ADDC629">
      <w:pPr>
        <w:pStyle w:val="37"/>
        <w:numPr>
          <w:ilvl w:val="0"/>
          <w:numId w:val="0"/>
        </w:numPr>
        <w:spacing w:before="0"/>
        <w:outlineLvl w:val="9"/>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前附表B</w:t>
      </w:r>
    </w:p>
    <w:tbl>
      <w:tblPr>
        <w:tblStyle w:val="21"/>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26"/>
        <w:gridCol w:w="6287"/>
      </w:tblGrid>
      <w:tr w14:paraId="5E7D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vAlign w:val="center"/>
          </w:tcPr>
          <w:p w14:paraId="45D40427">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条款号</w:t>
            </w:r>
          </w:p>
        </w:tc>
        <w:tc>
          <w:tcPr>
            <w:tcW w:w="973" w:type="pct"/>
            <w:vAlign w:val="center"/>
          </w:tcPr>
          <w:p w14:paraId="6A60A3F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条款内容</w:t>
            </w:r>
          </w:p>
        </w:tc>
        <w:tc>
          <w:tcPr>
            <w:tcW w:w="3545" w:type="pct"/>
            <w:vAlign w:val="center"/>
          </w:tcPr>
          <w:p w14:paraId="037958CB">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编列内容</w:t>
            </w:r>
          </w:p>
        </w:tc>
      </w:tr>
      <w:tr w14:paraId="03F7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vAlign w:val="center"/>
          </w:tcPr>
          <w:p w14:paraId="63038A90">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p>
        </w:tc>
        <w:tc>
          <w:tcPr>
            <w:tcW w:w="1726" w:type="dxa"/>
            <w:vAlign w:val="center"/>
          </w:tcPr>
          <w:p w14:paraId="29C319BA">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第一个信封</w:t>
            </w:r>
          </w:p>
          <w:p w14:paraId="486E4A63">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评分分值构</w:t>
            </w:r>
          </w:p>
          <w:p w14:paraId="29BC035D">
            <w:pPr>
              <w:keepNext w:val="0"/>
              <w:keepLines w:val="0"/>
              <w:widowControl/>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 w:val="22"/>
                <w:szCs w:val="22"/>
                <w:highlight w:val="none"/>
                <w:lang w:bidi="ar"/>
              </w:rPr>
              <w:t>成</w:t>
            </w:r>
            <w:r>
              <w:rPr>
                <w:rFonts w:hint="eastAsia" w:ascii="宋体" w:hAnsi="宋体" w:cs="宋体"/>
                <w:color w:val="auto"/>
                <w:sz w:val="21"/>
                <w:szCs w:val="21"/>
                <w:highlight w:val="none"/>
              </w:rPr>
              <w:t>（总分100分）</w:t>
            </w:r>
          </w:p>
        </w:tc>
        <w:tc>
          <w:tcPr>
            <w:tcW w:w="6287" w:type="dxa"/>
            <w:vAlign w:val="center"/>
          </w:tcPr>
          <w:p w14:paraId="70DC34AD">
            <w:pPr>
              <w:keepNext w:val="0"/>
              <w:keepLines w:val="0"/>
              <w:suppressLineNumbers w:val="0"/>
              <w:adjustRightInd w:val="0"/>
              <w:spacing w:before="0" w:beforeLines="0" w:beforeAutospacing="0" w:after="0" w:afterLines="0" w:afterAutospacing="0"/>
              <w:ind w:left="0" w:right="0"/>
              <w:rPr>
                <w:rFonts w:hint="eastAsia" w:ascii="宋体" w:hAnsi="宋体" w:cs="宋体"/>
                <w:b/>
                <w:color w:val="auto"/>
                <w:sz w:val="21"/>
                <w:szCs w:val="21"/>
                <w:highlight w:val="none"/>
              </w:rPr>
            </w:pPr>
            <w:r>
              <w:rPr>
                <w:rFonts w:hint="eastAsia" w:ascii="宋体" w:hAnsi="宋体" w:cs="宋体"/>
                <w:b/>
                <w:color w:val="auto"/>
                <w:sz w:val="21"/>
                <w:szCs w:val="21"/>
                <w:highlight w:val="none"/>
              </w:rPr>
              <w:t>商务及技术文件评分分值构成：</w:t>
            </w:r>
            <w:r>
              <w:rPr>
                <w:rFonts w:hint="eastAsia" w:ascii="宋体" w:hAnsi="宋体" w:cs="宋体"/>
                <w:b/>
                <w:color w:val="auto"/>
                <w:sz w:val="21"/>
                <w:szCs w:val="21"/>
                <w:highlight w:val="none"/>
                <w:u w:val="single"/>
              </w:rPr>
              <w:t xml:space="preserve"> 100 </w:t>
            </w:r>
            <w:r>
              <w:rPr>
                <w:rFonts w:hint="eastAsia" w:ascii="宋体" w:hAnsi="宋体" w:cs="宋体"/>
                <w:b/>
                <w:color w:val="auto"/>
                <w:sz w:val="21"/>
                <w:szCs w:val="21"/>
                <w:highlight w:val="none"/>
              </w:rPr>
              <w:t>分</w:t>
            </w:r>
          </w:p>
          <w:p w14:paraId="3F619279">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企业业绩：</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60</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651151A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企业实力：</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18</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1F1FD8B2">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lang w:eastAsia="zh-CN"/>
              </w:rPr>
              <w:t>检测报告及合格证</w:t>
            </w:r>
            <w:r>
              <w:rPr>
                <w:rFonts w:hint="eastAsia" w:ascii="宋体" w:hAnsi="宋体" w:cs="宋体"/>
                <w:color w:val="auto"/>
                <w:sz w:val="21"/>
                <w:szCs w:val="24"/>
                <w:highlight w:val="none"/>
              </w:rPr>
              <w:t>：</w:t>
            </w:r>
            <w:r>
              <w:rPr>
                <w:rFonts w:hint="eastAsia" w:ascii="宋体" w:hAnsi="宋体" w:cs="宋体"/>
                <w:color w:val="auto"/>
                <w:sz w:val="21"/>
                <w:szCs w:val="24"/>
                <w:highlight w:val="none"/>
                <w:u w:val="single"/>
              </w:rPr>
              <w:t xml:space="preserve">  6  </w:t>
            </w:r>
            <w:r>
              <w:rPr>
                <w:rFonts w:hint="eastAsia" w:ascii="宋体" w:hAnsi="宋体" w:cs="宋体"/>
                <w:color w:val="auto"/>
                <w:sz w:val="21"/>
                <w:szCs w:val="24"/>
                <w:highlight w:val="none"/>
              </w:rPr>
              <w:t>分</w:t>
            </w:r>
          </w:p>
          <w:p w14:paraId="2144FC4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供货方案：</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 xml:space="preserve">8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265BFC5D">
            <w:pPr>
              <w:pStyle w:val="8"/>
              <w:keepNext w:val="0"/>
              <w:keepLines w:val="0"/>
              <w:suppressLineNumbers w:val="0"/>
              <w:spacing w:before="0" w:beforeAutospacing="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none"/>
                <w:lang w:eastAsia="zh-CN"/>
              </w:rPr>
              <w:t>售后服务方案</w:t>
            </w:r>
            <w:r>
              <w:rPr>
                <w:rFonts w:hint="eastAsia"/>
                <w:color w:val="auto"/>
                <w:highlight w:val="none"/>
              </w:rPr>
              <w:t>：</w:t>
            </w:r>
            <w:r>
              <w:rPr>
                <w:rFonts w:hint="eastAsia"/>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8</w:t>
            </w:r>
            <w:r>
              <w:rPr>
                <w:rFonts w:hint="eastAsia"/>
                <w:color w:val="auto"/>
                <w:highlight w:val="none"/>
                <w:u w:val="single"/>
              </w:rPr>
              <w:t xml:space="preserve">  </w:t>
            </w:r>
            <w:r>
              <w:rPr>
                <w:rFonts w:hint="eastAsia"/>
                <w:color w:val="auto"/>
                <w:highlight w:val="none"/>
              </w:rPr>
              <w:t>分</w:t>
            </w:r>
          </w:p>
        </w:tc>
      </w:tr>
      <w:tr w14:paraId="02D6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52" w:type="dxa"/>
            <w:vAlign w:val="center"/>
          </w:tcPr>
          <w:p w14:paraId="65831E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lang w:val="en-US" w:eastAsia="zh-CN"/>
              </w:rPr>
            </w:pPr>
            <w:r>
              <w:rPr>
                <w:rFonts w:hint="eastAsia" w:ascii="宋体" w:hAnsi="宋体" w:eastAsia="宋体" w:cs="宋体"/>
                <w:color w:val="auto"/>
                <w:kern w:val="0"/>
                <w:sz w:val="21"/>
                <w:szCs w:val="21"/>
                <w:highlight w:val="none"/>
                <w:lang w:val="en-US" w:eastAsia="zh-CN" w:bidi="ar"/>
              </w:rPr>
              <w:t>3</w:t>
            </w:r>
          </w:p>
        </w:tc>
        <w:tc>
          <w:tcPr>
            <w:tcW w:w="1726" w:type="dxa"/>
            <w:vAlign w:val="center"/>
          </w:tcPr>
          <w:p w14:paraId="71ACDC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第二个信封详细评审标准</w:t>
            </w:r>
          </w:p>
        </w:tc>
        <w:tc>
          <w:tcPr>
            <w:tcW w:w="6287" w:type="dxa"/>
            <w:vAlign w:val="center"/>
          </w:tcPr>
          <w:p w14:paraId="078FD0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（1）本次采购活动将采用技术评分最低价法进行评审，通过商务及技术文件评审得分入选的，根据各家报价由低到高的顺序，依次推荐N名成交候选人。 </w:t>
            </w:r>
          </w:p>
          <w:p w14:paraId="49EA16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异常低价评审</w:t>
            </w:r>
            <w:r>
              <w:rPr>
                <w:rFonts w:hint="eastAsia" w:ascii="宋体" w:hAnsi="宋体" w:eastAsia="宋体" w:cs="宋体"/>
                <w:color w:val="auto"/>
                <w:kern w:val="0"/>
                <w:sz w:val="21"/>
                <w:szCs w:val="21"/>
                <w:highlight w:val="none"/>
                <w:lang w:val="en-US" w:eastAsia="zh-CN" w:bidi="ar"/>
              </w:rPr>
              <w:t xml:space="preserve">： </w:t>
            </w:r>
          </w:p>
          <w:p w14:paraId="55F6C6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①如响应人的评标价低于评标价平均值的90%时，采购人可以在评标现场要求该响应人作出情况说明并提供相应降低工程造价的相关证明材料，参照附表 1 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报价竞标，并否决其响应。</w:t>
            </w:r>
          </w:p>
          <w:p w14:paraId="7A8DE6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②异常低价或不平衡报价，采购人有权作废标处理。</w:t>
            </w:r>
          </w:p>
          <w:p w14:paraId="6E1BC8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 </w:t>
            </w:r>
          </w:p>
          <w:p w14:paraId="298715B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1)针对异常低价承诺书请响应人合理考虑时间，可提前准备好降 </w:t>
            </w:r>
          </w:p>
          <w:p w14:paraId="78BDF1D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低工程造价的相关证明材料，以避免错过电子询标时间，造成的不良后果由响应人自行承担。 </w:t>
            </w:r>
          </w:p>
          <w:p w14:paraId="024E1C6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2)以下情形不得作为询标或报价文件中提供异常低价响应说明 </w:t>
            </w:r>
          </w:p>
          <w:p w14:paraId="6DBC41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7F1F5C7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风险评估评审：采购人对通过评审的异常低价成交候选人合同履行能力及工程质量安全等风险进行全面评估，并作为评标结果的附件提交给采购人。响应人在响应文件中不能作出有效澄清、说明或采购人认定（按少数服从多数的原则）其存在履约及质量安全风险的，采购人应否决其响应。</w:t>
            </w:r>
          </w:p>
        </w:tc>
      </w:tr>
    </w:tbl>
    <w:p w14:paraId="6731446D">
      <w:pPr>
        <w:rPr>
          <w:rFonts w:hint="eastAsia" w:ascii="黑体" w:eastAsia="黑体"/>
          <w:color w:val="auto"/>
          <w:sz w:val="21"/>
          <w:szCs w:val="21"/>
          <w:highlight w:val="none"/>
          <w:lang w:val="en-US" w:eastAsia="zh-CN"/>
        </w:rPr>
      </w:pPr>
    </w:p>
    <w:tbl>
      <w:tblPr>
        <w:tblStyle w:val="21"/>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6"/>
        <w:gridCol w:w="933"/>
        <w:gridCol w:w="1662"/>
        <w:gridCol w:w="5394"/>
      </w:tblGrid>
      <w:tr w14:paraId="3C01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494" w:type="pct"/>
            <w:vAlign w:val="center"/>
          </w:tcPr>
          <w:p w14:paraId="159E5634">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526" w:type="pct"/>
            <w:vAlign w:val="center"/>
          </w:tcPr>
          <w:p w14:paraId="5521CC7E">
            <w:pPr>
              <w:pStyle w:val="8"/>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937" w:type="pct"/>
            <w:vAlign w:val="center"/>
          </w:tcPr>
          <w:p w14:paraId="70A2FD8E">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分值构成</w:t>
            </w:r>
          </w:p>
        </w:tc>
        <w:tc>
          <w:tcPr>
            <w:tcW w:w="3041" w:type="pct"/>
            <w:vAlign w:val="center"/>
          </w:tcPr>
          <w:p w14:paraId="3868DF9F">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评分标准</w:t>
            </w:r>
          </w:p>
        </w:tc>
      </w:tr>
      <w:tr w14:paraId="1EF9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7" w:hRule="atLeast"/>
          <w:jc w:val="center"/>
        </w:trPr>
        <w:tc>
          <w:tcPr>
            <w:tcW w:w="494" w:type="pct"/>
            <w:vMerge w:val="restart"/>
            <w:vAlign w:val="center"/>
          </w:tcPr>
          <w:p w14:paraId="572DA4A5">
            <w:pPr>
              <w:pStyle w:val="8"/>
              <w:keepNext w:val="0"/>
              <w:keepLines w:val="0"/>
              <w:suppressLineNumbers w:val="0"/>
              <w:adjustRightInd w:val="0"/>
              <w:snapToGrid w:val="0"/>
              <w:spacing w:before="0" w:beforeAutospacing="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p>
          <w:p w14:paraId="5BC79124">
            <w:pPr>
              <w:pStyle w:val="8"/>
              <w:keepNext w:val="0"/>
              <w:keepLines w:val="0"/>
              <w:suppressLineNumbers w:val="0"/>
              <w:adjustRightInd w:val="0"/>
              <w:snapToGrid w:val="0"/>
              <w:spacing w:before="0" w:beforeAutospacing="0" w:afterAutospacing="0" w:line="240" w:lineRule="auto"/>
              <w:ind w:left="0" w:right="0"/>
              <w:rPr>
                <w:rFonts w:hint="eastAsia" w:ascii="宋体" w:hAnsi="宋体" w:eastAsia="宋体" w:cs="宋体"/>
                <w:color w:val="auto"/>
                <w:sz w:val="21"/>
                <w:szCs w:val="21"/>
                <w:highlight w:val="none"/>
              </w:rPr>
            </w:pPr>
          </w:p>
        </w:tc>
        <w:tc>
          <w:tcPr>
            <w:tcW w:w="526" w:type="pct"/>
            <w:vMerge w:val="restart"/>
            <w:vAlign w:val="center"/>
          </w:tcPr>
          <w:p w14:paraId="2B8AF269">
            <w:pPr>
              <w:pStyle w:val="8"/>
              <w:keepNext w:val="0"/>
              <w:keepLines w:val="0"/>
              <w:suppressLineNumbers w:val="0"/>
              <w:adjustRightInd w:val="0"/>
              <w:snapToGrid w:val="0"/>
              <w:spacing w:before="0" w:beforeAutospacing="0" w:afterAutospacing="0" w:line="240" w:lineRule="auto"/>
              <w:ind w:left="21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商务及技术文件</w:t>
            </w:r>
          </w:p>
        </w:tc>
        <w:tc>
          <w:tcPr>
            <w:tcW w:w="937" w:type="pct"/>
            <w:vAlign w:val="center"/>
          </w:tcPr>
          <w:p w14:paraId="62D7CE1F">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35898049">
            <w:pPr>
              <w:pStyle w:val="8"/>
              <w:keepNext w:val="0"/>
              <w:keepLines w:val="0"/>
              <w:suppressLineNumbers w:val="0"/>
              <w:adjustRightInd w:val="0"/>
              <w:snapToGrid w:val="0"/>
              <w:spacing w:before="0" w:beforeLines="0" w:beforeAutospacing="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60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041" w:type="pct"/>
            <w:vAlign w:val="center"/>
          </w:tcPr>
          <w:p w14:paraId="003C586F">
            <w:pPr>
              <w:pStyle w:val="8"/>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202</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 xml:space="preserve"> 年 1月1 日以来（以合同签订时间为准），除供应商资审条件要求的业绩得</w:t>
            </w:r>
            <w:r>
              <w:rPr>
                <w:rFonts w:hint="eastAsia" w:ascii="宋体" w:hAnsi="宋体" w:cs="宋体"/>
                <w:color w:val="auto"/>
                <w:sz w:val="21"/>
                <w:szCs w:val="24"/>
                <w:highlight w:val="none"/>
                <w:lang w:val="en-US" w:eastAsia="zh-CN"/>
              </w:rPr>
              <w:t>45</w:t>
            </w:r>
            <w:r>
              <w:rPr>
                <w:rFonts w:hint="eastAsia" w:ascii="宋体" w:hAnsi="宋体" w:cs="宋体"/>
                <w:color w:val="auto"/>
                <w:sz w:val="21"/>
                <w:szCs w:val="24"/>
                <w:highlight w:val="none"/>
              </w:rPr>
              <w:t>分，近三年来具有</w:t>
            </w:r>
            <w:r>
              <w:rPr>
                <w:rFonts w:hint="eastAsia" w:ascii="宋体" w:hAnsi="宋体" w:cs="宋体"/>
                <w:color w:val="auto"/>
                <w:sz w:val="21"/>
                <w:szCs w:val="24"/>
                <w:highlight w:val="none"/>
                <w:u w:val="single"/>
                <w:lang w:val="en-US" w:eastAsia="zh-CN"/>
              </w:rPr>
              <w:t>30</w:t>
            </w:r>
            <w:r>
              <w:rPr>
                <w:rFonts w:hint="eastAsia" w:ascii="宋体" w:hAnsi="宋体" w:cs="宋体"/>
                <w:color w:val="auto"/>
                <w:sz w:val="21"/>
                <w:szCs w:val="24"/>
                <w:highlight w:val="none"/>
              </w:rPr>
              <w:t>万及以上的空气能或太阳能合同业绩，每多提供一个业绩得5分，满分</w:t>
            </w:r>
            <w:r>
              <w:rPr>
                <w:rFonts w:hint="eastAsia" w:ascii="宋体" w:hAnsi="宋体" w:cs="宋体"/>
                <w:color w:val="auto"/>
                <w:sz w:val="21"/>
                <w:szCs w:val="24"/>
                <w:highlight w:val="none"/>
                <w:lang w:val="en-US" w:eastAsia="zh-CN"/>
              </w:rPr>
              <w:t>60</w:t>
            </w:r>
            <w:r>
              <w:rPr>
                <w:rFonts w:hint="eastAsia" w:ascii="宋体" w:hAnsi="宋体" w:cs="宋体"/>
                <w:color w:val="auto"/>
                <w:sz w:val="21"/>
                <w:szCs w:val="24"/>
                <w:highlight w:val="none"/>
              </w:rPr>
              <w:t>分。</w:t>
            </w:r>
          </w:p>
          <w:p w14:paraId="1679D332">
            <w:pPr>
              <w:pStyle w:val="8"/>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响应人</w:t>
            </w:r>
            <w:r>
              <w:rPr>
                <w:rFonts w:hint="eastAsia" w:ascii="宋体" w:hAnsi="宋体" w:cs="宋体"/>
                <w:color w:val="auto"/>
                <w:sz w:val="21"/>
                <w:szCs w:val="24"/>
                <w:highlight w:val="none"/>
              </w:rPr>
              <w:t>业绩合同应提供包含项目名称、合同总金额、合同签订时间、合同签字盖章页等关键内容的关键页的扫描件；</w:t>
            </w:r>
            <w:r>
              <w:rPr>
                <w:rFonts w:hint="eastAsia" w:ascii="宋体" w:hAnsi="宋体" w:cs="宋体"/>
                <w:color w:val="auto"/>
                <w:sz w:val="21"/>
                <w:szCs w:val="24"/>
                <w:highlight w:val="yellow"/>
                <w:lang w:val="en-US" w:eastAsia="zh-CN"/>
              </w:rPr>
              <w:t>每个业绩至少提供不低于合同金额50%的增值税发票（或提供不低于资格审查要求业绩金额的增值税发票），未提供或提供发票金额不足的，该业绩无效。</w:t>
            </w:r>
          </w:p>
          <w:p w14:paraId="71881B33">
            <w:pPr>
              <w:pStyle w:val="8"/>
              <w:keepNext w:val="0"/>
              <w:keepLines w:val="0"/>
              <w:suppressLineNumbers w:val="0"/>
              <w:adjustRightInd w:val="0"/>
              <w:snapToGrid w:val="0"/>
              <w:spacing w:before="0" w:beforeLines="0" w:beforeAutospacing="0" w:afterLines="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4"/>
                <w:highlight w:val="none"/>
              </w:rPr>
              <w:t>2）以上涉及到的材料扫描件信息应完整或能充分反映评审因素。如均未能明确反映出采购文件所要求的内容的 （如合同总金额等），应另附买方（或合同甲方）出具的证明资料予以明确说明。</w:t>
            </w:r>
          </w:p>
        </w:tc>
      </w:tr>
      <w:tr w14:paraId="750D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58" w:hRule="atLeast"/>
          <w:jc w:val="center"/>
        </w:trPr>
        <w:tc>
          <w:tcPr>
            <w:tcW w:w="494" w:type="pct"/>
            <w:vMerge w:val="continue"/>
            <w:vAlign w:val="center"/>
          </w:tcPr>
          <w:p w14:paraId="15F3468D">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6271DD01">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vAlign w:val="center"/>
          </w:tcPr>
          <w:p w14:paraId="2BCA433A">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企业实力</w:t>
            </w:r>
          </w:p>
          <w:p w14:paraId="6119F0E8">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18</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041" w:type="pct"/>
            <w:vAlign w:val="center"/>
          </w:tcPr>
          <w:p w14:paraId="22D86CC8">
            <w:pPr>
              <w:pStyle w:val="18"/>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1" w:firstLineChars="100"/>
              <w:jc w:val="both"/>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1.办公场所情况</w:t>
            </w:r>
            <w:r>
              <w:rPr>
                <w:rFonts w:hint="eastAsia" w:ascii="宋体" w:hAnsi="宋体" w:eastAsia="宋体" w:cs="宋体"/>
                <w:color w:val="auto"/>
                <w:kern w:val="0"/>
                <w:sz w:val="21"/>
                <w:szCs w:val="21"/>
                <w:highlight w:val="none"/>
                <w:u w:val="none"/>
                <w:lang w:val="en-US" w:eastAsia="zh-CN" w:bidi="ar"/>
              </w:rPr>
              <w:t>（须提供办公场所照片、房屋购买租赁合同协议书等，自有或租赁办公场所须明确证明材料），</w:t>
            </w:r>
            <w:r>
              <w:rPr>
                <w:rFonts w:hint="eastAsia" w:ascii="宋体" w:hAnsi="宋体" w:eastAsia="宋体" w:cs="宋体"/>
                <w:color w:val="auto"/>
                <w:kern w:val="0"/>
                <w:sz w:val="21"/>
                <w:szCs w:val="21"/>
                <w:highlight w:val="none"/>
                <w:lang w:bidi="ar"/>
              </w:rPr>
              <w:t>优秀的得</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分；一般的得</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5EBDCF27">
            <w:pPr>
              <w:keepNext w:val="0"/>
              <w:keepLines w:val="0"/>
              <w:suppressLineNumbers w:val="0"/>
              <w:spacing w:before="0" w:beforeAutospacing="0" w:after="0" w:afterAutospacing="0"/>
              <w:ind w:left="0" w:right="0" w:firstLine="211" w:firstLineChars="100"/>
              <w:rPr>
                <w:rFonts w:hint="default"/>
                <w:color w:val="auto"/>
                <w:highlight w:val="none"/>
                <w:lang w:val="en-US" w:eastAsia="zh-CN"/>
              </w:rPr>
            </w:pPr>
            <w:r>
              <w:rPr>
                <w:rFonts w:hint="eastAsia" w:ascii="宋体" w:hAnsi="宋体" w:eastAsia="宋体" w:cs="宋体"/>
                <w:b/>
                <w:bCs/>
                <w:color w:val="auto"/>
                <w:kern w:val="0"/>
                <w:sz w:val="21"/>
                <w:szCs w:val="21"/>
                <w:highlight w:val="none"/>
                <w:u w:val="none"/>
                <w:lang w:val="en-US" w:eastAsia="zh-CN" w:bidi="ar"/>
              </w:rPr>
              <w:t>2.企业获得奖项及荣誉证书等</w:t>
            </w:r>
            <w:r>
              <w:rPr>
                <w:rFonts w:hint="eastAsia" w:ascii="宋体" w:hAnsi="宋体" w:eastAsia="宋体" w:cs="宋体"/>
                <w:color w:val="auto"/>
                <w:kern w:val="0"/>
                <w:sz w:val="21"/>
                <w:szCs w:val="21"/>
                <w:highlight w:val="none"/>
                <w:u w:val="none"/>
                <w:lang w:val="en-US" w:eastAsia="zh-CN" w:bidi="ar"/>
              </w:rPr>
              <w:t>（须提供证书证明材料)，</w:t>
            </w:r>
            <w:r>
              <w:rPr>
                <w:rFonts w:hint="eastAsia" w:ascii="宋体" w:hAnsi="宋体" w:eastAsia="宋体" w:cs="宋体"/>
                <w:color w:val="auto"/>
                <w:kern w:val="0"/>
                <w:sz w:val="21"/>
                <w:szCs w:val="21"/>
                <w:highlight w:val="none"/>
                <w:lang w:bidi="ar"/>
              </w:rPr>
              <w:t>优秀的得</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分；一般的得</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5BA79F9B">
            <w:pPr>
              <w:pStyle w:val="18"/>
              <w:keepNext w:val="0"/>
              <w:keepLines w:val="0"/>
              <w:suppressLineNumbers w:val="0"/>
              <w:spacing w:before="0" w:beforeLines="0" w:beforeAutospacing="0" w:after="0" w:afterLines="0" w:afterAutospacing="0"/>
              <w:ind w:left="0" w:right="0" w:firstLine="211" w:firstLineChars="100"/>
              <w:jc w:val="both"/>
              <w:rPr>
                <w:rFonts w:hint="eastAsia"/>
                <w:color w:val="auto"/>
                <w:highlight w:val="yellow"/>
                <w:lang w:eastAsia="zh-CN"/>
              </w:rPr>
            </w:pPr>
            <w:r>
              <w:rPr>
                <w:rFonts w:hint="eastAsia" w:ascii="宋体" w:hAnsi="宋体" w:eastAsia="宋体" w:cs="宋体"/>
                <w:b/>
                <w:color w:val="auto"/>
                <w:kern w:val="0"/>
                <w:sz w:val="21"/>
                <w:szCs w:val="21"/>
                <w:highlight w:val="none"/>
                <w:lang w:val="en-US" w:eastAsia="zh-CN" w:bidi="ar"/>
              </w:rPr>
              <w:t>3</w:t>
            </w:r>
            <w:r>
              <w:rPr>
                <w:rFonts w:hint="eastAsia" w:ascii="宋体" w:hAnsi="宋体" w:eastAsia="宋体" w:cs="宋体"/>
                <w:b/>
                <w:color w:val="auto"/>
                <w:kern w:val="0"/>
                <w:sz w:val="21"/>
                <w:szCs w:val="21"/>
                <w:highlight w:val="none"/>
                <w:lang w:bidi="ar"/>
              </w:rPr>
              <w:t>.人员情况</w:t>
            </w:r>
            <w:r>
              <w:rPr>
                <w:rFonts w:hint="eastAsia" w:ascii="宋体" w:hAnsi="宋体" w:eastAsia="宋体" w:cs="宋体"/>
                <w:color w:val="auto"/>
                <w:kern w:val="0"/>
                <w:sz w:val="21"/>
                <w:szCs w:val="21"/>
                <w:highlight w:val="none"/>
                <w:lang w:bidi="ar"/>
              </w:rPr>
              <w:t>（生产人员、安装人员、售后人员情况，可提供公司社保名录等证明材料），评委根据上述证明材料综合评审，优秀的得</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分；一般的得</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4A57E4ED">
            <w:pPr>
              <w:pStyle w:val="18"/>
              <w:keepNext w:val="0"/>
              <w:keepLines w:val="0"/>
              <w:suppressLineNumbers w:val="0"/>
              <w:spacing w:before="0" w:beforeLines="0" w:beforeAutospacing="0" w:after="0" w:afterLines="0" w:afterAutospacing="0"/>
              <w:ind w:left="0" w:leftChars="0" w:right="0" w:rightChars="0"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 w:val="21"/>
                <w:szCs w:val="21"/>
                <w:highlight w:val="none"/>
                <w:lang w:bidi="ar"/>
              </w:rPr>
              <w:t>本项累计</w:t>
            </w:r>
            <w:r>
              <w:rPr>
                <w:rFonts w:hint="eastAsia" w:ascii="宋体" w:hAnsi="宋体" w:eastAsia="宋体" w:cs="宋体"/>
                <w:color w:val="auto"/>
                <w:kern w:val="0"/>
                <w:sz w:val="21"/>
                <w:szCs w:val="21"/>
                <w:highlight w:val="none"/>
                <w:lang w:val="en-US" w:eastAsia="zh-CN" w:bidi="ar"/>
              </w:rPr>
              <w:t>18</w:t>
            </w:r>
            <w:r>
              <w:rPr>
                <w:rFonts w:hint="eastAsia" w:ascii="宋体" w:hAnsi="宋体" w:eastAsia="宋体" w:cs="宋体"/>
                <w:color w:val="auto"/>
                <w:kern w:val="0"/>
                <w:sz w:val="21"/>
                <w:szCs w:val="21"/>
                <w:highlight w:val="none"/>
                <w:lang w:bidi="ar"/>
              </w:rPr>
              <w:t>分。</w:t>
            </w:r>
            <w:r>
              <w:rPr>
                <w:rFonts w:hint="eastAsia" w:ascii="宋体" w:hAnsi="宋体" w:eastAsia="宋体" w:cs="宋体"/>
                <w:b/>
                <w:color w:val="auto"/>
                <w:kern w:val="0"/>
                <w:sz w:val="21"/>
                <w:szCs w:val="21"/>
                <w:highlight w:val="none"/>
                <w:lang w:bidi="ar"/>
              </w:rPr>
              <w:t>（如采购人发现响应人提供的资料弄虚作假，采购人有权取消</w:t>
            </w:r>
            <w:r>
              <w:rPr>
                <w:rFonts w:hint="eastAsia" w:ascii="宋体" w:hAnsi="宋体" w:eastAsia="宋体" w:cs="宋体"/>
                <w:b/>
                <w:color w:val="auto"/>
                <w:kern w:val="0"/>
                <w:sz w:val="21"/>
                <w:szCs w:val="21"/>
                <w:highlight w:val="none"/>
                <w:lang w:val="en-US" w:eastAsia="zh-CN" w:bidi="ar"/>
              </w:rPr>
              <w:t>成交</w:t>
            </w:r>
            <w:r>
              <w:rPr>
                <w:rFonts w:hint="eastAsia" w:ascii="宋体" w:hAnsi="宋体" w:eastAsia="宋体" w:cs="宋体"/>
                <w:b/>
                <w:color w:val="auto"/>
                <w:kern w:val="0"/>
                <w:sz w:val="21"/>
                <w:szCs w:val="21"/>
                <w:highlight w:val="none"/>
                <w:lang w:bidi="ar"/>
              </w:rPr>
              <w:t>资格，已签合同的可随时解除合同）</w:t>
            </w:r>
          </w:p>
        </w:tc>
      </w:tr>
      <w:tr w14:paraId="4854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494" w:type="pct"/>
            <w:vMerge w:val="continue"/>
            <w:vAlign w:val="center"/>
          </w:tcPr>
          <w:p w14:paraId="770DBF94">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7680D05C">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vAlign w:val="center"/>
          </w:tcPr>
          <w:p w14:paraId="36EA1E7B">
            <w:pPr>
              <w:keepNext w:val="0"/>
              <w:keepLines w:val="0"/>
              <w:suppressLineNumbers w:val="0"/>
              <w:spacing w:before="0" w:beforeLines="0" w:beforeAutospacing="0" w:after="0" w:afterLines="0" w:afterAutospacing="0"/>
              <w:ind w:left="618" w:right="0" w:hanging="618" w:hangingChars="300"/>
              <w:jc w:val="center"/>
              <w:rPr>
                <w:rFonts w:hint="eastAsia" w:ascii="宋体" w:hAnsi="宋体" w:cs="宋体"/>
                <w:spacing w:val="-2"/>
                <w:sz w:val="21"/>
                <w:szCs w:val="21"/>
                <w:highlight w:val="none"/>
                <w:lang w:eastAsia="zh-CN"/>
              </w:rPr>
            </w:pPr>
            <w:r>
              <w:rPr>
                <w:rFonts w:hint="eastAsia" w:ascii="宋体" w:hAnsi="宋体" w:cs="宋体"/>
                <w:spacing w:val="-2"/>
                <w:sz w:val="21"/>
                <w:szCs w:val="21"/>
                <w:highlight w:val="none"/>
                <w:lang w:eastAsia="zh-CN"/>
              </w:rPr>
              <w:t>检测报告及</w:t>
            </w:r>
          </w:p>
          <w:p w14:paraId="188F7F47">
            <w:pPr>
              <w:keepNext w:val="0"/>
              <w:keepLines w:val="0"/>
              <w:suppressLineNumbers w:val="0"/>
              <w:spacing w:before="0" w:beforeLines="0" w:beforeAutospacing="0" w:after="0" w:afterLines="0" w:afterAutospacing="0"/>
              <w:ind w:left="618" w:right="0" w:hanging="618" w:hangingChars="300"/>
              <w:jc w:val="center"/>
              <w:rPr>
                <w:rFonts w:hint="eastAsia" w:ascii="宋体" w:hAnsi="宋体" w:cs="宋体" w:eastAsiaTheme="minorEastAsia"/>
                <w:sz w:val="21"/>
                <w:szCs w:val="21"/>
                <w:highlight w:val="none"/>
                <w:lang w:eastAsia="zh-CN"/>
              </w:rPr>
            </w:pPr>
            <w:r>
              <w:rPr>
                <w:rFonts w:hint="eastAsia" w:ascii="宋体" w:hAnsi="宋体" w:cs="宋体"/>
                <w:spacing w:val="-2"/>
                <w:sz w:val="21"/>
                <w:szCs w:val="21"/>
                <w:highlight w:val="none"/>
                <w:lang w:eastAsia="zh-CN"/>
              </w:rPr>
              <w:t>合格证</w:t>
            </w:r>
          </w:p>
          <w:p w14:paraId="4B4EEB8E">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highlight w:val="none"/>
              </w:rPr>
              <w:t>（满分</w:t>
            </w:r>
            <w:r>
              <w:rPr>
                <w:rFonts w:hint="eastAsia" w:ascii="宋体" w:hAnsi="宋体" w:cs="宋体"/>
                <w:sz w:val="21"/>
                <w:szCs w:val="21"/>
                <w:highlight w:val="none"/>
                <w:u w:val="single"/>
              </w:rPr>
              <w:t xml:space="preserve"> 6 </w:t>
            </w:r>
            <w:r>
              <w:rPr>
                <w:rFonts w:hint="eastAsia" w:ascii="宋体" w:hAnsi="宋体" w:cs="宋体"/>
                <w:sz w:val="21"/>
                <w:szCs w:val="21"/>
                <w:highlight w:val="none"/>
              </w:rPr>
              <w:t>分）</w:t>
            </w:r>
          </w:p>
        </w:tc>
        <w:tc>
          <w:tcPr>
            <w:tcW w:w="3041" w:type="pct"/>
            <w:vAlign w:val="center"/>
          </w:tcPr>
          <w:p w14:paraId="2359D061">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1、提供拟使用品牌热泵热水机近3年内的检测报告（进场检测报告）的得3分。</w:t>
            </w:r>
          </w:p>
          <w:p w14:paraId="3B69C328">
            <w:pPr>
              <w:pStyle w:val="7"/>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val="0"/>
                <w:color w:val="auto"/>
                <w:kern w:val="2"/>
                <w:sz w:val="21"/>
                <w:szCs w:val="24"/>
                <w:highlight w:val="none"/>
                <w:lang w:val="en-US" w:eastAsia="zh-CN" w:bidi="ar-SA"/>
              </w:rPr>
              <w:t>2、提供拟使用品牌热泵热水机出厂合格证书（质量证明文件）的得3分。</w:t>
            </w:r>
          </w:p>
        </w:tc>
      </w:tr>
      <w:tr w14:paraId="6C41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94" w:type="pct"/>
            <w:vMerge w:val="continue"/>
            <w:vAlign w:val="center"/>
          </w:tcPr>
          <w:p w14:paraId="249875D6">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36F98C23">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shd w:val="clear" w:color="auto" w:fill="auto"/>
            <w:vAlign w:val="center"/>
          </w:tcPr>
          <w:p w14:paraId="0FFC4C0C">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sz w:val="21"/>
                <w:szCs w:val="21"/>
                <w:highlight w:val="none"/>
              </w:rPr>
            </w:pPr>
            <w:r>
              <w:rPr>
                <w:rFonts w:hint="eastAsia" w:ascii="宋体" w:hAnsi="宋体" w:cs="宋体"/>
                <w:sz w:val="21"/>
                <w:szCs w:val="21"/>
                <w:highlight w:val="none"/>
              </w:rPr>
              <w:t>供货方案</w:t>
            </w:r>
          </w:p>
          <w:p w14:paraId="4CD1C9F8">
            <w:pPr>
              <w:pStyle w:val="8"/>
              <w:keepNext w:val="0"/>
              <w:keepLines w:val="0"/>
              <w:suppressLineNumbers w:val="0"/>
              <w:adjustRightInd w:val="0"/>
              <w:snapToGrid w:val="0"/>
              <w:spacing w:before="0" w:beforeLines="0" w:beforeAutospacing="0" w:afterLines="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z w:val="21"/>
                <w:szCs w:val="21"/>
                <w:highlight w:val="none"/>
              </w:rPr>
              <w:t>（满分</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8</w:t>
            </w:r>
            <w:r>
              <w:rPr>
                <w:rFonts w:hint="eastAsia" w:ascii="宋体" w:hAnsi="宋体" w:cs="宋体"/>
                <w:sz w:val="21"/>
                <w:szCs w:val="21"/>
                <w:highlight w:val="none"/>
                <w:u w:val="single"/>
              </w:rPr>
              <w:t xml:space="preserve"> </w:t>
            </w:r>
            <w:r>
              <w:rPr>
                <w:rFonts w:hint="eastAsia" w:ascii="宋体" w:hAnsi="宋体" w:cs="宋体"/>
                <w:sz w:val="21"/>
                <w:szCs w:val="21"/>
                <w:highlight w:val="none"/>
              </w:rPr>
              <w:t>分）</w:t>
            </w:r>
          </w:p>
        </w:tc>
        <w:tc>
          <w:tcPr>
            <w:tcW w:w="3041" w:type="pct"/>
            <w:shd w:val="clear" w:color="auto" w:fill="auto"/>
            <w:vAlign w:val="center"/>
          </w:tcPr>
          <w:p w14:paraId="0C475E43">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Lines="0" w:afterAutospacing="0"/>
              <w:ind w:left="0" w:leftChars="0" w:right="0" w:rightChars="0" w:firstLine="420" w:firstLineChars="200"/>
              <w:jc w:val="left"/>
              <w:textAlignment w:val="auto"/>
              <w:rPr>
                <w:rFonts w:hint="eastAsia"/>
                <w:color w:val="auto"/>
                <w:highlight w:val="none"/>
                <w:lang w:val="en-US" w:eastAsia="zh-CN"/>
              </w:rPr>
            </w:pPr>
            <w:r>
              <w:rPr>
                <w:rFonts w:hint="eastAsia" w:ascii="宋体" w:hAnsi="宋体" w:cs="宋体"/>
                <w:sz w:val="21"/>
                <w:szCs w:val="21"/>
                <w:highlight w:val="none"/>
                <w:lang w:val="en-US" w:eastAsia="zh-CN" w:bidi="ar"/>
              </w:rPr>
              <w:t>安装供货方案合理,对项目关键技术主要施工艺有深入的表述,对重点、难点问题有合理化建议解决方案完整、经济、安全、切实可行,措施得力，评委综合评分，优秀的得8-6分；一般的得5-3分，较差得基础分2分，未提供不得分。</w:t>
            </w:r>
            <w:r>
              <w:rPr>
                <w:rFonts w:hint="eastAsia" w:ascii="宋体" w:hAnsi="宋体" w:cs="宋体"/>
                <w:sz w:val="21"/>
                <w:szCs w:val="21"/>
                <w:highlight w:val="none"/>
                <w:lang w:bidi="ar"/>
              </w:rPr>
              <w:t xml:space="preserve">  </w:t>
            </w:r>
          </w:p>
        </w:tc>
      </w:tr>
      <w:tr w14:paraId="2FE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jc w:val="center"/>
        </w:trPr>
        <w:tc>
          <w:tcPr>
            <w:tcW w:w="494" w:type="pct"/>
            <w:vMerge w:val="continue"/>
            <w:vAlign w:val="center"/>
          </w:tcPr>
          <w:p w14:paraId="1728D70F">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2CE56D02">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shd w:val="clear" w:color="auto" w:fill="auto"/>
            <w:vAlign w:val="center"/>
          </w:tcPr>
          <w:p w14:paraId="06E7F4D4">
            <w:pPr>
              <w:pStyle w:val="20"/>
              <w:keepNext w:val="0"/>
              <w:keepLines w:val="0"/>
              <w:suppressLineNumbers w:val="0"/>
              <w:spacing w:before="0" w:beforeLines="0" w:beforeAutospacing="0" w:afterLines="0" w:afterAutospacing="0"/>
              <w:ind w:left="0" w:leftChars="0" w:right="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售后服务方案</w:t>
            </w:r>
          </w:p>
          <w:p w14:paraId="308209DC">
            <w:pPr>
              <w:pStyle w:val="20"/>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满分</w:t>
            </w:r>
            <w:r>
              <w:rPr>
                <w:rFonts w:hint="eastAsia" w:ascii="宋体" w:hAnsi="宋体" w:cs="宋体"/>
                <w:sz w:val="21"/>
                <w:szCs w:val="21"/>
                <w:highlight w:val="none"/>
                <w:u w:val="single"/>
                <w:lang w:val="en-US" w:eastAsia="zh-CN"/>
              </w:rPr>
              <w:t xml:space="preserve"> 8 </w:t>
            </w:r>
            <w:r>
              <w:rPr>
                <w:rFonts w:hint="eastAsia" w:ascii="宋体" w:hAnsi="宋体" w:cs="宋体"/>
                <w:sz w:val="21"/>
                <w:szCs w:val="21"/>
                <w:highlight w:val="none"/>
                <w:lang w:val="en-US" w:eastAsia="zh-CN"/>
              </w:rPr>
              <w:t>分</w:t>
            </w:r>
            <w:r>
              <w:rPr>
                <w:rFonts w:hint="eastAsia" w:ascii="宋体" w:hAnsi="宋体" w:cs="宋体"/>
                <w:sz w:val="21"/>
                <w:szCs w:val="21"/>
                <w:highlight w:val="none"/>
                <w:lang w:eastAsia="zh-CN"/>
              </w:rPr>
              <w:t>）</w:t>
            </w:r>
          </w:p>
        </w:tc>
        <w:tc>
          <w:tcPr>
            <w:tcW w:w="3041" w:type="pct"/>
            <w:shd w:val="clear" w:color="auto" w:fill="auto"/>
            <w:vAlign w:val="center"/>
          </w:tcPr>
          <w:p w14:paraId="3686DE7B">
            <w:pPr>
              <w:pStyle w:val="9"/>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4"/>
                <w:highlight w:val="none"/>
                <w:lang w:val="en-US" w:eastAsia="zh-CN"/>
              </w:rPr>
              <w:t>根据响应人售后服务方案及增值服务进行综合评审。评委综合评分，</w:t>
            </w:r>
            <w:r>
              <w:rPr>
                <w:rFonts w:hint="eastAsia" w:ascii="宋体" w:hAnsi="宋体" w:cs="宋体"/>
                <w:sz w:val="21"/>
                <w:szCs w:val="21"/>
                <w:highlight w:val="none"/>
                <w:lang w:val="en-US" w:eastAsia="zh-CN" w:bidi="ar"/>
              </w:rPr>
              <w:t>优秀的得8-6分；一般的得5-3分，较差得基础分2分，未提供不得分。</w:t>
            </w:r>
            <w:r>
              <w:rPr>
                <w:rFonts w:hint="eastAsia" w:ascii="宋体" w:hAnsi="宋体" w:cs="宋体"/>
                <w:sz w:val="21"/>
                <w:szCs w:val="21"/>
                <w:highlight w:val="none"/>
                <w:lang w:bidi="ar"/>
              </w:rPr>
              <w:t xml:space="preserve">  </w:t>
            </w:r>
          </w:p>
        </w:tc>
      </w:tr>
    </w:tbl>
    <w:p w14:paraId="5218B9BA">
      <w:pPr>
        <w:pStyle w:val="37"/>
        <w:pageBreakBefore w:val="0"/>
        <w:numPr>
          <w:ilvl w:val="0"/>
          <w:numId w:val="0"/>
        </w:numPr>
        <w:kinsoku/>
        <w:wordWrap/>
        <w:overflowPunct/>
        <w:topLinePunct w:val="0"/>
        <w:autoSpaceDE/>
        <w:autoSpaceDN/>
        <w:bidi w:val="0"/>
        <w:spacing w:before="0"/>
        <w:textAlignment w:val="auto"/>
        <w:outlineLvl w:val="9"/>
        <w:rPr>
          <w:rFonts w:hint="eastAsia" w:ascii="宋体" w:hAnsi="宋体" w:eastAsia="宋体" w:cs="宋体"/>
          <w:b/>
          <w:bCs/>
          <w:color w:val="auto"/>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C627878">
      <w:pPr>
        <w:jc w:val="left"/>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1. </w:t>
      </w:r>
      <w:r>
        <w:rPr>
          <w:rFonts w:hint="eastAsia" w:ascii="Times New Roman" w:hAnsi="Times New Roman" w:eastAsia="黑体"/>
          <w:color w:val="auto"/>
          <w:sz w:val="24"/>
          <w:szCs w:val="32"/>
          <w:highlight w:val="none"/>
        </w:rPr>
        <w:t>评审方法</w:t>
      </w:r>
    </w:p>
    <w:p w14:paraId="4274C6E3">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lang w:val="en-US" w:eastAsia="zh-CN"/>
        </w:rPr>
        <w:t>1.1</w:t>
      </w:r>
      <w:r>
        <w:rPr>
          <w:rFonts w:hint="eastAsia" w:ascii="Times New Roman" w:hAnsi="Times New Roman"/>
          <w:color w:val="auto"/>
          <w:sz w:val="21"/>
          <w:szCs w:val="24"/>
          <w:highlight w:val="none"/>
        </w:rPr>
        <w:t>本次评审采用技术评分最低价法。评审委员会对通过初步评审的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人的商务及技术文件进行评分，按得分由高到低排序确定前N名。对排名前N名的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人的报价文件进行评审，按照评标价由低到高的顺序推荐3名</w:t>
      </w:r>
      <w:r>
        <w:rPr>
          <w:rFonts w:hint="eastAsia" w:ascii="Times New Roman" w:hAnsi="Times New Roman"/>
          <w:color w:val="auto"/>
          <w:sz w:val="21"/>
          <w:szCs w:val="24"/>
          <w:highlight w:val="none"/>
          <w:lang w:val="en-US" w:eastAsia="zh-CN"/>
        </w:rPr>
        <w:t>成交</w:t>
      </w:r>
      <w:r>
        <w:rPr>
          <w:rFonts w:hint="eastAsia" w:ascii="Times New Roman" w:hAnsi="Times New Roman"/>
          <w:color w:val="auto"/>
          <w:sz w:val="21"/>
          <w:szCs w:val="24"/>
          <w:highlight w:val="none"/>
        </w:rPr>
        <w:t>候选人。</w:t>
      </w:r>
    </w:p>
    <w:p w14:paraId="21C01D69">
      <w:pPr>
        <w:spacing w:line="440" w:lineRule="exact"/>
        <w:ind w:firstLine="420"/>
        <w:rPr>
          <w:rFonts w:hint="eastAsia" w:ascii="Times New Roman" w:hAnsi="Times New Roman" w:eastAsiaTheme="minorEastAsia"/>
          <w:color w:val="auto"/>
          <w:sz w:val="21"/>
          <w:szCs w:val="24"/>
          <w:highlight w:val="yellow"/>
          <w:lang w:eastAsia="zh-CN"/>
        </w:rPr>
      </w:pPr>
      <w:r>
        <w:rPr>
          <w:rFonts w:hint="eastAsia" w:ascii="Times New Roman" w:hAnsi="Times New Roman" w:eastAsiaTheme="minorEastAsia"/>
          <w:color w:val="auto"/>
          <w:sz w:val="21"/>
          <w:szCs w:val="24"/>
          <w:highlight w:val="yellow"/>
          <w:lang w:eastAsia="zh-CN"/>
        </w:rPr>
        <w:t>1.2若参与本项目询比且通过形式评审、响应性评审与资格评审的供应商只有3家，则3家无需进行商务技术文件评审，直接开启第二信封报价文件，按照评标价由低到高的顺序推荐3名</w:t>
      </w:r>
      <w:r>
        <w:rPr>
          <w:rFonts w:hint="eastAsia" w:ascii="Times New Roman" w:hAnsi="Times New Roman"/>
          <w:color w:val="auto"/>
          <w:sz w:val="21"/>
          <w:szCs w:val="24"/>
          <w:highlight w:val="yellow"/>
          <w:lang w:val="en-US" w:eastAsia="zh-CN"/>
        </w:rPr>
        <w:t>成交</w:t>
      </w:r>
      <w:r>
        <w:rPr>
          <w:rFonts w:hint="eastAsia" w:ascii="Times New Roman" w:hAnsi="Times New Roman" w:eastAsiaTheme="minorEastAsia"/>
          <w:color w:val="auto"/>
          <w:sz w:val="21"/>
          <w:szCs w:val="24"/>
          <w:highlight w:val="yellow"/>
          <w:lang w:eastAsia="zh-CN"/>
        </w:rPr>
        <w:t>候选人。</w:t>
      </w:r>
    </w:p>
    <w:p w14:paraId="251CEB30">
      <w:pPr>
        <w:spacing w:line="440" w:lineRule="exact"/>
        <w:ind w:firstLine="420"/>
        <w:rPr>
          <w:rFonts w:hint="eastAsia" w:ascii="Times New Roman" w:hAnsi="Times New Roman" w:eastAsiaTheme="minorEastAsia"/>
          <w:b/>
          <w:bCs/>
          <w:color w:val="auto"/>
          <w:sz w:val="21"/>
          <w:szCs w:val="24"/>
          <w:highlight w:val="yellow"/>
          <w:lang w:val="en-US" w:eastAsia="zh-CN"/>
        </w:rPr>
      </w:pPr>
      <w:r>
        <w:rPr>
          <w:rFonts w:hint="eastAsia" w:ascii="Times New Roman" w:hAnsi="Times New Roman"/>
          <w:b/>
          <w:bCs/>
          <w:color w:val="auto"/>
          <w:sz w:val="21"/>
          <w:szCs w:val="24"/>
          <w:highlight w:val="yellow"/>
          <w:lang w:val="en-US" w:eastAsia="zh-CN"/>
        </w:rPr>
        <w:t>1.3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294BE65D">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 </w:t>
      </w:r>
      <w:r>
        <w:rPr>
          <w:rFonts w:hint="eastAsia" w:ascii="Times New Roman" w:hAnsi="Times New Roman" w:eastAsia="黑体"/>
          <w:color w:val="auto"/>
          <w:sz w:val="24"/>
          <w:szCs w:val="32"/>
          <w:highlight w:val="none"/>
        </w:rPr>
        <w:t>评审标准</w:t>
      </w:r>
    </w:p>
    <w:p w14:paraId="4417430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2.1 </w:t>
      </w:r>
      <w:r>
        <w:rPr>
          <w:rFonts w:hint="eastAsia" w:ascii="Times New Roman" w:hAnsi="Times New Roman" w:eastAsia="黑体"/>
          <w:color w:val="auto"/>
          <w:sz w:val="24"/>
          <w:szCs w:val="32"/>
          <w:highlight w:val="none"/>
        </w:rPr>
        <w:t>初步评审标准</w:t>
      </w:r>
    </w:p>
    <w:p w14:paraId="1C952C4E">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2.1.1 </w:t>
      </w:r>
      <w:r>
        <w:rPr>
          <w:rFonts w:hint="eastAsia" w:ascii="Times New Roman" w:hAnsi="Times New Roman"/>
          <w:color w:val="auto"/>
          <w:sz w:val="21"/>
          <w:szCs w:val="24"/>
          <w:highlight w:val="none"/>
        </w:rPr>
        <w:t>形式评审标准：见评审办法前附表。</w:t>
      </w:r>
    </w:p>
    <w:p w14:paraId="26E4FF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2.1.2 </w:t>
      </w:r>
      <w:r>
        <w:rPr>
          <w:rFonts w:hint="eastAsia" w:ascii="Times New Roman" w:hAnsi="Times New Roman"/>
          <w:color w:val="auto"/>
          <w:sz w:val="21"/>
          <w:szCs w:val="24"/>
          <w:highlight w:val="none"/>
        </w:rPr>
        <w:t>资格评审标准：见评审办法前附表。</w:t>
      </w:r>
    </w:p>
    <w:p w14:paraId="4B8844F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2.1.3 </w:t>
      </w:r>
      <w:r>
        <w:rPr>
          <w:rFonts w:hint="eastAsia" w:ascii="Times New Roman" w:hAnsi="Times New Roman"/>
          <w:color w:val="auto"/>
          <w:sz w:val="21"/>
          <w:szCs w:val="24"/>
          <w:highlight w:val="none"/>
        </w:rPr>
        <w:t>响应性评审标准：见评审办法前附表。</w:t>
      </w:r>
    </w:p>
    <w:p w14:paraId="3F00D0E9">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2.2 </w:t>
      </w:r>
      <w:r>
        <w:rPr>
          <w:rFonts w:hint="eastAsia" w:ascii="Times New Roman" w:hAnsi="Times New Roman" w:eastAsia="黑体"/>
          <w:color w:val="auto"/>
          <w:sz w:val="24"/>
          <w:szCs w:val="32"/>
          <w:highlight w:val="none"/>
        </w:rPr>
        <w:t>分值构成与评审标准</w:t>
      </w:r>
    </w:p>
    <w:p w14:paraId="2FFCF1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2.2.1</w:t>
      </w:r>
      <w:r>
        <w:rPr>
          <w:rFonts w:hint="eastAsia" w:ascii="Times New Roman" w:hAnsi="Times New Roman"/>
          <w:color w:val="auto"/>
          <w:sz w:val="21"/>
          <w:szCs w:val="24"/>
          <w:highlight w:val="none"/>
        </w:rPr>
        <w:t>分值构成：</w:t>
      </w:r>
    </w:p>
    <w:p w14:paraId="7945925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（1）业绩：见评审办法前附表；</w:t>
      </w:r>
    </w:p>
    <w:p w14:paraId="152FFD3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（2）供货方案：见评审办法前附表；</w:t>
      </w:r>
    </w:p>
    <w:p w14:paraId="7B34FA4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（3）评审价：见评审办法前附表。</w:t>
      </w:r>
    </w:p>
    <w:p w14:paraId="3AE5AA9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2.2.2 </w:t>
      </w:r>
      <w:r>
        <w:rPr>
          <w:rFonts w:hint="eastAsia" w:ascii="Times New Roman" w:hAnsi="Times New Roman"/>
          <w:color w:val="auto"/>
          <w:sz w:val="21"/>
          <w:szCs w:val="24"/>
          <w:highlight w:val="none"/>
        </w:rPr>
        <w:t>评分标准：</w:t>
      </w:r>
    </w:p>
    <w:p w14:paraId="1D5428E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（1）业绩评分标准：见评审办法前附表；</w:t>
      </w:r>
    </w:p>
    <w:p w14:paraId="10CC277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（2）供货方案评分标准：见评审办法前附表；</w:t>
      </w:r>
    </w:p>
    <w:p w14:paraId="27AFC7B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（3）评审价评分标准：见评审办法前附表。</w:t>
      </w:r>
    </w:p>
    <w:p w14:paraId="5C84771E">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 </w:t>
      </w:r>
      <w:r>
        <w:rPr>
          <w:rFonts w:hint="eastAsia" w:ascii="Times New Roman" w:hAnsi="Times New Roman" w:eastAsia="黑体"/>
          <w:color w:val="auto"/>
          <w:sz w:val="24"/>
          <w:szCs w:val="32"/>
          <w:highlight w:val="none"/>
        </w:rPr>
        <w:t>评审程序</w:t>
      </w:r>
    </w:p>
    <w:p w14:paraId="2F8BD502">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3.1 </w:t>
      </w:r>
      <w:r>
        <w:rPr>
          <w:rFonts w:hint="eastAsia" w:ascii="Times New Roman" w:hAnsi="Times New Roman" w:eastAsia="黑体"/>
          <w:color w:val="auto"/>
          <w:sz w:val="24"/>
          <w:szCs w:val="32"/>
          <w:highlight w:val="none"/>
        </w:rPr>
        <w:t>初步评审</w:t>
      </w:r>
    </w:p>
    <w:p w14:paraId="7847808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3.1.1</w:t>
      </w:r>
      <w:r>
        <w:rPr>
          <w:rFonts w:hint="eastAsia" w:ascii="Times New Roman" w:hAnsi="Times New Roman"/>
          <w:color w:val="auto"/>
          <w:sz w:val="21"/>
          <w:szCs w:val="24"/>
          <w:highlight w:val="none"/>
        </w:rPr>
        <w:t xml:space="preserve"> 评审小组依据本章第2.1.1项、第2.1.2项、第2.1.3项规定的标准对响应文件进行评审。有一项不符合评审标准的，评审小组应否决其响应文件。</w:t>
      </w:r>
    </w:p>
    <w:p w14:paraId="135256C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2 响应文件中填报的报价、交货期、质量标准前后不一致，且报价函中填写的内容满足询比文件要求时，按细微偏差处理，并以报价函填报的为准。</w:t>
      </w:r>
    </w:p>
    <w:p w14:paraId="5B64D7F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3.1.3 报价存在以下细微偏差的，评审小组按以上原则对报价进行处理，并要求供应商书面澄清确认，供应商拒不澄清确认的，评审小组应当否决其报价。</w:t>
      </w:r>
    </w:p>
    <w:p w14:paraId="471FDA0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（1）报价有算术错误的，评审小组按以下原则对报价进行修正，修正的价格经供应商书面确认后具有约束力。供应商不接受修正价格的，评审小组应否决其报价。</w:t>
      </w:r>
    </w:p>
    <w:p w14:paraId="05BD4C1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响应文件中的大写金额与小写金额不一致的，以大写金额为准；</w:t>
      </w:r>
    </w:p>
    <w:p w14:paraId="2722746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总价金额与依据单价计算出的结果不一致的，以单价金额为准修正总价，但单价金额小数点有明显错误的除外；</w:t>
      </w:r>
    </w:p>
    <w:p w14:paraId="428C4FF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当单价与数量相乘不等于合价时，以单价计算为准，如果单价有明显的小数点位置差错，应以标出的合价为准，同时对单价予以修正；</w:t>
      </w:r>
    </w:p>
    <w:p w14:paraId="2A14A1F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356F670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（2）报价清单中的报价有其他错误的，评审小组按以下原则对报价进行修正，修正的价格经供应商书面确认后具有约束力。供应商不接受修正价格的，评审小组应否决其报价。</w:t>
      </w:r>
    </w:p>
    <w:p w14:paraId="482CF71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DB9B90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在采购人给定的清单中多报了某个子目的单价、合价或总额价，或所报单价、合价或总额价增加了报价范围，则从报价中扣除多报的子目报价或子目报价中增加了报价范围的部分报价。</w:t>
      </w:r>
    </w:p>
    <w:p w14:paraId="6BBED0A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当单价与数量的乘积与合价（金额）虽然一致，但供应商修改了该子目的数量，则其合价按采购人给定的数量乘以供应商所报单价予以修正。</w:t>
      </w:r>
    </w:p>
    <w:p w14:paraId="3FE16CC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772B3DB5">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4 修正后的最终报价若超过最高限价（如有），评审小组应否决其报价。</w:t>
      </w:r>
    </w:p>
    <w:p w14:paraId="32CC1B59">
      <w:pPr>
        <w:spacing w:line="440" w:lineRule="exact"/>
        <w:ind w:firstLine="420"/>
        <w:rPr>
          <w:rFonts w:hint="default"/>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5</w:t>
      </w:r>
      <w:r>
        <w:rPr>
          <w:rFonts w:hint="default" w:ascii="Times New Roman" w:hAnsi="Times New Roman" w:eastAsia="Times New Roman"/>
          <w:color w:val="auto"/>
          <w:sz w:val="21"/>
          <w:szCs w:val="24"/>
          <w:highlight w:val="none"/>
        </w:rPr>
        <w:t xml:space="preserve"> </w:t>
      </w:r>
      <w:r>
        <w:rPr>
          <w:rFonts w:hint="eastAsia" w:ascii="Times New Roman" w:hAnsi="Times New Roman"/>
          <w:color w:val="auto"/>
          <w:sz w:val="21"/>
          <w:szCs w:val="21"/>
          <w:highlight w:val="none"/>
        </w:rPr>
        <w:t>修正后的</w:t>
      </w:r>
      <w:r>
        <w:rPr>
          <w:rFonts w:hint="eastAsia" w:ascii="Times New Roman" w:hAnsi="Times New Roman"/>
          <w:color w:val="auto"/>
          <w:sz w:val="21"/>
          <w:szCs w:val="24"/>
          <w:highlight w:val="none"/>
        </w:rPr>
        <w:t>最终报价参与评审价得分的计算，并作为签订合同的依据。</w:t>
      </w:r>
    </w:p>
    <w:p w14:paraId="3799B04E">
      <w:pPr>
        <w:keepNext/>
        <w:keepLines/>
        <w:spacing w:before="120" w:after="120"/>
        <w:outlineLvl w:val="2"/>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4"/>
          <w:szCs w:val="32"/>
          <w:highlight w:val="none"/>
        </w:rPr>
        <w:t xml:space="preserve">3.2 </w:t>
      </w:r>
      <w:r>
        <w:rPr>
          <w:rFonts w:hint="eastAsia" w:ascii="Times New Roman" w:hAnsi="Times New Roman" w:eastAsia="黑体"/>
          <w:color w:val="auto"/>
          <w:sz w:val="24"/>
          <w:szCs w:val="32"/>
          <w:highlight w:val="none"/>
        </w:rPr>
        <w:t>详细评审</w:t>
      </w:r>
    </w:p>
    <w:p w14:paraId="02549B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3.2.1 </w:t>
      </w:r>
      <w:r>
        <w:rPr>
          <w:rFonts w:hint="eastAsia" w:ascii="Times New Roman" w:hAnsi="Times New Roman"/>
          <w:color w:val="auto"/>
          <w:sz w:val="21"/>
          <w:szCs w:val="24"/>
          <w:highlight w:val="none"/>
        </w:rPr>
        <w:t>评审小组按本章第2.2款规定的量化因素和分值进行打分，并计算出供应商的商务及技术文件得分。</w:t>
      </w:r>
    </w:p>
    <w:p w14:paraId="6BF1F8E4">
      <w:pPr>
        <w:spacing w:line="400" w:lineRule="exact"/>
        <w:ind w:firstLine="420" w:firstLineChars="20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3.2.2 </w:t>
      </w:r>
      <w:r>
        <w:rPr>
          <w:rFonts w:hint="eastAsia" w:ascii="Times New Roman" w:hAnsi="Times New Roman"/>
          <w:color w:val="auto"/>
          <w:sz w:val="21"/>
          <w:szCs w:val="24"/>
          <w:highlight w:val="none"/>
        </w:rPr>
        <w:t>评分分值计算保留小数点后两位，小数点后第三位“四舍五入”。</w:t>
      </w:r>
    </w:p>
    <w:p w14:paraId="69E5F53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3.3 </w:t>
      </w:r>
      <w:r>
        <w:rPr>
          <w:rFonts w:hint="eastAsia" w:ascii="Times New Roman" w:hAnsi="Times New Roman" w:eastAsia="黑体"/>
          <w:color w:val="auto"/>
          <w:sz w:val="24"/>
          <w:szCs w:val="32"/>
          <w:highlight w:val="none"/>
        </w:rPr>
        <w:t>否决响应文件的其他情形</w:t>
      </w:r>
    </w:p>
    <w:p w14:paraId="68153C5D">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评审小组应对在评审过程中发现供应商存在串通报价、弄虚作假、行贿等违法行为的，评审小组应否决其响应文件。</w:t>
      </w:r>
    </w:p>
    <w:p w14:paraId="47FF9EB3">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3.4 </w:t>
      </w:r>
      <w:r>
        <w:rPr>
          <w:rFonts w:hint="eastAsia" w:ascii="Times New Roman" w:hAnsi="Times New Roman" w:eastAsia="黑体"/>
          <w:color w:val="auto"/>
          <w:sz w:val="24"/>
          <w:szCs w:val="32"/>
          <w:highlight w:val="none"/>
        </w:rPr>
        <w:t>响应文件的澄清</w:t>
      </w:r>
    </w:p>
    <w:p w14:paraId="283ECFE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3.4.1 </w:t>
      </w:r>
      <w:r>
        <w:rPr>
          <w:rFonts w:hint="eastAsia" w:ascii="Times New Roman" w:hAnsi="Times New Roman"/>
          <w:color w:val="auto"/>
          <w:sz w:val="21"/>
          <w:szCs w:val="24"/>
          <w:highlight w:val="none"/>
        </w:rPr>
        <w:t>在评审过程中，评审小组可以书面形式要求供应商对响应文件中含义不明确、对同类问题表述不一致或者有明显文字错误的内容做必要的澄清。评审小组不接受供应商主动提出的澄清。</w:t>
      </w:r>
    </w:p>
    <w:p w14:paraId="2F04BE26">
      <w:pPr>
        <w:spacing w:line="440" w:lineRule="exact"/>
        <w:ind w:firstLine="420"/>
        <w:rPr>
          <w:rFonts w:hint="default" w:ascii="Times New Roman" w:hAnsi="Times New Roman" w:eastAsia="Times New Roman"/>
          <w:strike/>
          <w:color w:val="auto"/>
          <w:sz w:val="21"/>
          <w:szCs w:val="24"/>
          <w:highlight w:val="none"/>
        </w:rPr>
      </w:pPr>
      <w:r>
        <w:rPr>
          <w:rFonts w:hint="default" w:ascii="Times New Roman" w:hAnsi="Times New Roman" w:eastAsia="Times New Roman"/>
          <w:color w:val="auto"/>
          <w:sz w:val="21"/>
          <w:szCs w:val="24"/>
          <w:highlight w:val="none"/>
        </w:rPr>
        <w:t xml:space="preserve">3.4.2 </w:t>
      </w:r>
      <w:r>
        <w:rPr>
          <w:rFonts w:hint="eastAsia" w:ascii="Times New Roman" w:hAnsi="Times New Roman"/>
          <w:color w:val="auto"/>
          <w:sz w:val="21"/>
          <w:szCs w:val="24"/>
          <w:highlight w:val="none"/>
        </w:rPr>
        <w:t>澄清不得超出响应文件的范围且不得改变响应文件的实质性内容，并构成响应文件的组成部分。</w:t>
      </w:r>
    </w:p>
    <w:p w14:paraId="7D58C12E">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3.</w:t>
      </w:r>
      <w:r>
        <w:rPr>
          <w:rFonts w:hint="eastAsia" w:ascii="Times New Roman" w:hAnsi="Times New Roman" w:eastAsia="黑体"/>
          <w:color w:val="auto"/>
          <w:sz w:val="24"/>
          <w:szCs w:val="32"/>
          <w:highlight w:val="none"/>
        </w:rPr>
        <w:t>5</w:t>
      </w:r>
      <w:r>
        <w:rPr>
          <w:rFonts w:hint="default" w:ascii="Times New Roman" w:hAnsi="Times New Roman" w:eastAsia="Times New Roman"/>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、评审办法（技术评分最低价法）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、详细评审情况（供应商的技术评分情况）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2336"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2336;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3、唱标记录表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20E7F13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6、商务及技术详细评审得分表</w:t>
      </w:r>
    </w:p>
    <w:p w14:paraId="66A0520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7、个人的评审表</w:t>
      </w:r>
    </w:p>
    <w:p w14:paraId="64633347">
      <w:pPr>
        <w:spacing w:line="440" w:lineRule="exact"/>
        <w:ind w:firstLine="420"/>
        <w:rPr>
          <w:rFonts w:hint="eastAsia" w:ascii="Times New Roman" w:hAnsi="Times New Roman"/>
          <w:color w:val="auto"/>
          <w:sz w:val="21"/>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color w:val="auto"/>
          <w:sz w:val="21"/>
          <w:szCs w:val="24"/>
          <w:highlight w:val="none"/>
          <w:lang w:val="en-US" w:eastAsia="zh-CN"/>
        </w:rPr>
        <w:t>8、评审结果汇总表</w:t>
      </w:r>
    </w:p>
    <w:p w14:paraId="7F9EE705">
      <w:pPr>
        <w:pStyle w:val="3"/>
        <w:numPr>
          <w:ilvl w:val="0"/>
          <w:numId w:val="0"/>
        </w:numPr>
        <w:spacing w:before="312" w:after="312"/>
        <w:ind w:leftChars="0"/>
        <w:jc w:val="center"/>
        <w:rPr>
          <w:rFonts w:ascii="Times New Roman" w:hAnsi="Times New Roman" w:eastAsia="宋体" w:cs="Times New Roman"/>
          <w:color w:val="auto"/>
          <w:highlight w:val="none"/>
        </w:rPr>
      </w:pPr>
      <w:bookmarkStart w:id="63" w:name="_Toc21503"/>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bookmarkEnd w:id="63"/>
    </w:p>
    <w:p w14:paraId="1558D023">
      <w:pPr>
        <w:rPr>
          <w:color w:val="auto"/>
          <w:highlight w:val="none"/>
        </w:rPr>
      </w:pPr>
    </w:p>
    <w:p w14:paraId="37368B5D">
      <w:pPr>
        <w:pStyle w:val="33"/>
        <w:rPr>
          <w:rFonts w:hint="eastAsia" w:ascii="Times New Roman" w:hAnsi="Times New Roman" w:eastAsia="宋体" w:cs="Times New Roman"/>
          <w:color w:val="auto"/>
          <w:highlight w:val="none"/>
        </w:rPr>
      </w:pPr>
    </w:p>
    <w:p w14:paraId="0E6FDAD6">
      <w:pPr>
        <w:pStyle w:val="33"/>
        <w:rPr>
          <w:rFonts w:hint="eastAsia" w:ascii="Times New Roman" w:hAnsi="Times New Roman" w:eastAsia="宋体" w:cs="Times New Roman"/>
          <w:color w:val="auto"/>
          <w:highlight w:val="none"/>
        </w:rPr>
      </w:pPr>
    </w:p>
    <w:p w14:paraId="58CDC6FF">
      <w:pPr>
        <w:pStyle w:val="33"/>
        <w:rPr>
          <w:rFonts w:hint="eastAsia" w:ascii="Times New Roman" w:hAnsi="Times New Roman" w:eastAsia="宋体" w:cs="Times New Roman"/>
          <w:color w:val="auto"/>
          <w:highlight w:val="none"/>
        </w:rPr>
      </w:pPr>
    </w:p>
    <w:p w14:paraId="4C8D3807">
      <w:pPr>
        <w:rPr>
          <w:rFonts w:hint="eastAsia" w:ascii="方正小标宋简体" w:hAnsi="方正小标宋简体" w:eastAsia="方正小标宋简体" w:cs="方正小标宋简体"/>
          <w:bCs/>
          <w:color w:val="auto"/>
          <w:sz w:val="44"/>
          <w:szCs w:val="44"/>
          <w:highlight w:val="none"/>
          <w:lang w:eastAsia="zh-CN"/>
        </w:rPr>
        <w:sectPr>
          <w:headerReference r:id="rId11" w:type="default"/>
          <w:footerReference r:id="rId12" w:type="default"/>
          <w:pgSz w:w="11906" w:h="16838"/>
          <w:pgMar w:top="1440" w:right="1797" w:bottom="1440" w:left="1797" w:header="851" w:footer="992" w:gutter="0"/>
          <w:pgNumType w:fmt="decimal"/>
          <w:cols w:space="425" w:num="1"/>
          <w:docGrid w:type="lines" w:linePitch="312" w:charSpace="0"/>
        </w:sectPr>
      </w:pPr>
      <w:r>
        <w:rPr>
          <w:rFonts w:hint="eastAsia" w:ascii="方正小标宋简体" w:hAnsi="方正小标宋简体" w:eastAsia="方正小标宋简体" w:cs="方正小标宋简体"/>
          <w:bCs/>
          <w:color w:val="auto"/>
          <w:sz w:val="44"/>
          <w:szCs w:val="44"/>
          <w:highlight w:val="none"/>
          <w:lang w:eastAsia="zh-CN"/>
        </w:rPr>
        <w:br w:type="page"/>
      </w:r>
    </w:p>
    <w:p w14:paraId="63DAC813">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0"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permEnd w:id="0"/>
      <w:r>
        <w:rPr>
          <w:rFonts w:hint="eastAsia" w:ascii="方正小标宋简体" w:hAnsi="方正小标宋简体" w:eastAsia="方正小标宋简体" w:cs="方正小标宋简体"/>
          <w:bCs/>
          <w:color w:val="auto"/>
          <w:sz w:val="44"/>
          <w:szCs w:val="44"/>
          <w:highlight w:val="none"/>
          <w:u w:val="none"/>
          <w:lang w:val="en-US" w:eastAsia="zh-CN"/>
        </w:rPr>
        <w:t>采购</w:t>
      </w:r>
      <w:r>
        <w:rPr>
          <w:rFonts w:hint="eastAsia" w:ascii="方正小标宋简体" w:hAnsi="方正小标宋简体" w:eastAsia="方正小标宋简体" w:cs="方正小标宋简体"/>
          <w:bCs/>
          <w:color w:val="auto"/>
          <w:sz w:val="44"/>
          <w:szCs w:val="44"/>
          <w:highlight w:val="none"/>
          <w:lang w:val="en-US" w:eastAsia="zh-CN"/>
        </w:rPr>
        <w:t>及安装</w:t>
      </w:r>
      <w:r>
        <w:rPr>
          <w:rFonts w:hint="eastAsia" w:ascii="方正小标宋简体" w:hAnsi="方正小标宋简体" w:eastAsia="方正小标宋简体" w:cs="方正小标宋简体"/>
          <w:bCs/>
          <w:color w:val="auto"/>
          <w:sz w:val="44"/>
          <w:szCs w:val="44"/>
          <w:highlight w:val="none"/>
          <w:lang w:eastAsia="zh-CN"/>
        </w:rPr>
        <w:t>合同</w:t>
      </w:r>
    </w:p>
    <w:p w14:paraId="3698B4F3">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190C2D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安徽省经工物资有限公司</w:t>
      </w:r>
      <w:r>
        <w:rPr>
          <w:rFonts w:hint="eastAsia" w:ascii="仿宋_GB2312" w:hAnsi="仿宋_GB2312" w:eastAsia="仿宋_GB2312" w:cs="仿宋_GB2312"/>
          <w:color w:val="auto"/>
          <w:sz w:val="28"/>
          <w:szCs w:val="28"/>
          <w:highlight w:val="none"/>
        </w:rPr>
        <w:t>（以下简称甲方）</w:t>
      </w:r>
      <w:permStart w:id="1" w:edGrp="everyone"/>
      <w:permEnd w:id="1"/>
    </w:p>
    <w:p w14:paraId="34C2A1B5">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w:t>
      </w:r>
      <w:permEnd w:id="2"/>
      <w:r>
        <w:rPr>
          <w:rFonts w:hint="eastAsia" w:ascii="仿宋_GB2312" w:hAnsi="仿宋_GB2312" w:eastAsia="仿宋_GB2312" w:cs="仿宋_GB2312"/>
          <w:color w:val="auto"/>
          <w:sz w:val="28"/>
          <w:szCs w:val="28"/>
          <w:highlight w:val="none"/>
        </w:rPr>
        <w:t xml:space="preserve">（以下简称乙方）  </w:t>
      </w:r>
    </w:p>
    <w:p w14:paraId="38C588AE">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甲、乙双方经过友好协商，现就甲方向乙方购买</w:t>
      </w:r>
      <w:permStart w:id="3" w:edGrp="everyone"/>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permEnd w:id="3"/>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20F12AB6">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4A655A4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permStart w:id="4" w:edGrp="everyone"/>
      <w:r>
        <w:rPr>
          <w:rFonts w:hint="eastAsia" w:ascii="仿宋_GB2312" w:hAnsi="仿宋_GB2312" w:eastAsia="仿宋_GB2312" w:cs="仿宋_GB2312"/>
          <w:color w:val="auto"/>
          <w:kern w:val="2"/>
          <w:sz w:val="28"/>
          <w:szCs w:val="28"/>
          <w:highlight w:val="none"/>
          <w:lang w:val="en-US" w:eastAsia="zh-CN" w:bidi="ar-SA"/>
        </w:rPr>
        <w:t>.本合同暂定总价为（含增值税）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元）。其中，不含增值税价款为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元），增值税税率为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w:t>
      </w:r>
      <w:permEnd w:id="4"/>
      <w:r>
        <w:rPr>
          <w:rFonts w:hint="eastAsia" w:ascii="仿宋_GB2312" w:hAnsi="仿宋_GB2312" w:eastAsia="仿宋_GB2312" w:cs="仿宋_GB2312"/>
          <w:color w:val="auto"/>
          <w:kern w:val="2"/>
          <w:sz w:val="28"/>
          <w:szCs w:val="28"/>
          <w:highlight w:val="none"/>
          <w:lang w:val="en-US" w:eastAsia="zh-CN" w:bidi="ar-SA"/>
        </w:rPr>
        <w:t>若因国家税务政策变化导致税率调整，不含增值税价格不变，具体税金以变更后的税率计算。</w:t>
      </w:r>
    </w:p>
    <w:p w14:paraId="0B25482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清单中所列项目已包含全部工作内容，除甲方要求增加工程量外，乙方不得以任何理由增加清单项目。产品为固定综合单价，此单价涵盖各类税费、小型机械与工具费、管理费、利润、材料费（含辅材）、专用工具费、缺陷修复费、水电费、成品保护费、所有保险费、措施费 (内含垃圾清运、现场用于搭拆临时施工用架体、后期服务等费用)、运输费、深化设计费 (如有)、材料检测费、检验试验费、材料装卸车费、加工费、安装费、第三方检测费 (如有)、验收费、安全监督费用、试运行费、风险、交通、保洁、协调及完成本合同范围工作内容的安全费用、技术费用、措施费用、乙方人员保险费用以及与货物供应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3E5CE15D">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73508C9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14:paraId="1D4894DC">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运输费用和装卸费用、安装费用等均包含在合同价款内，由乙方承担。</w:t>
      </w:r>
    </w:p>
    <w:p w14:paraId="0611C1A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permStart w:id="5" w:edGrp="everyone"/>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permEnd w:id="5"/>
      <w:r>
        <w:rPr>
          <w:rFonts w:hint="eastAsia"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4.在运输过程以及安装过程中发生车辆人员毁损、伤亡等安全事故或发生对周围环境、水流、道路、树木、作物等损害事故时，由乙方承担各种赔偿费用，并由乙方与承运人、承保人办理理赔事宜。</w:t>
      </w:r>
    </w:p>
    <w:p w14:paraId="6DA8306C">
      <w:pPr>
        <w:keepNext w:val="0"/>
        <w:keepLines w:val="0"/>
        <w:pageBreakBefore w:val="0"/>
        <w:kinsoku/>
        <w:overflowPunct/>
        <w:autoSpaceDE/>
        <w:autoSpaceDN/>
        <w:bidi w:val="0"/>
        <w:adjustRightInd/>
        <w:snapToGrid/>
        <w:spacing w:line="560" w:lineRule="exact"/>
        <w:ind w:firstLine="560" w:firstLineChars="200"/>
        <w:jc w:val="both"/>
        <w:textAlignment w:val="auto"/>
        <w:rPr>
          <w:rFonts w:hint="default"/>
          <w:lang w:val="en-US" w:eastAsia="zh-CN"/>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29A5CC6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07156A48">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1F7C230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1DBFFD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如品种、型号、规格、数量不符合规定和合同约定的，甲方在验收完毕后的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7.产品</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53D7AF59">
      <w:pPr>
        <w:pStyle w:val="8"/>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eastAsia="仿宋"/>
          <w:lang w:val="en-US" w:eastAsia="zh-CN"/>
        </w:rPr>
      </w:pPr>
      <w:r>
        <w:rPr>
          <w:rFonts w:hint="eastAsia" w:ascii="仿宋_GB2312" w:hAnsi="仿宋_GB2312" w:eastAsia="仿宋_GB2312" w:cs="仿宋_GB2312"/>
          <w:b w:val="0"/>
          <w:bCs w:val="0"/>
          <w:color w:val="auto"/>
          <w:sz w:val="28"/>
          <w:szCs w:val="28"/>
          <w:highlight w:val="none"/>
          <w:lang w:val="en-US" w:eastAsia="zh-CN"/>
        </w:rPr>
        <w:t>9.</w:t>
      </w:r>
      <w:r>
        <w:rPr>
          <w:rFonts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的材料设备供应及安装工程施工</w:t>
      </w:r>
      <w:r>
        <w:rPr>
          <w:rFonts w:ascii="仿宋" w:hAnsi="仿宋" w:eastAsia="仿宋"/>
          <w:color w:val="auto"/>
          <w:sz w:val="28"/>
          <w:szCs w:val="28"/>
          <w:highlight w:val="none"/>
        </w:rPr>
        <w:t>应严格按照技术要求和国家(行业)的相关质量标准，</w:t>
      </w:r>
      <w:r>
        <w:rPr>
          <w:rFonts w:hint="eastAsia" w:ascii="仿宋" w:hAnsi="仿宋" w:eastAsia="仿宋"/>
          <w:color w:val="auto"/>
          <w:sz w:val="28"/>
          <w:szCs w:val="28"/>
          <w:highlight w:val="none"/>
        </w:rPr>
        <w:t>同时应当满足项目图纸及规范的相关</w:t>
      </w:r>
      <w:r>
        <w:rPr>
          <w:rFonts w:hint="eastAsia" w:ascii="仿宋" w:hAnsi="仿宋" w:eastAsia="仿宋"/>
          <w:color w:val="auto"/>
          <w:sz w:val="28"/>
          <w:szCs w:val="28"/>
          <w:highlight w:val="none"/>
          <w:lang w:eastAsia="zh-CN"/>
        </w:rPr>
        <w:t>验收</w:t>
      </w:r>
      <w:r>
        <w:rPr>
          <w:rFonts w:hint="eastAsia" w:ascii="仿宋" w:hAnsi="仿宋" w:eastAsia="仿宋"/>
          <w:color w:val="auto"/>
          <w:sz w:val="28"/>
          <w:szCs w:val="28"/>
          <w:highlight w:val="none"/>
        </w:rPr>
        <w:t>要求，</w:t>
      </w:r>
      <w:r>
        <w:rPr>
          <w:rFonts w:hint="eastAsia" w:ascii="仿宋" w:hAnsi="仿宋" w:eastAsia="仿宋"/>
          <w:color w:val="auto"/>
          <w:sz w:val="28"/>
          <w:szCs w:val="28"/>
          <w:highlight w:val="none"/>
          <w:lang w:eastAsia="zh-CN"/>
        </w:rPr>
        <w:t>满足甲方工程验收标准要求，</w:t>
      </w:r>
      <w:r>
        <w:rPr>
          <w:rFonts w:ascii="仿宋" w:hAnsi="仿宋" w:eastAsia="仿宋"/>
          <w:color w:val="auto"/>
          <w:sz w:val="28"/>
          <w:szCs w:val="28"/>
          <w:highlight w:val="none"/>
        </w:rPr>
        <w:t>确保所供材料</w:t>
      </w:r>
      <w:r>
        <w:rPr>
          <w:rFonts w:hint="eastAsia" w:ascii="仿宋" w:hAnsi="仿宋" w:eastAsia="仿宋"/>
          <w:color w:val="auto"/>
          <w:sz w:val="28"/>
          <w:szCs w:val="28"/>
          <w:highlight w:val="none"/>
          <w:lang w:eastAsia="zh-CN"/>
        </w:rPr>
        <w:t>设备的施工和安装</w:t>
      </w:r>
      <w:r>
        <w:rPr>
          <w:rFonts w:ascii="仿宋" w:hAnsi="仿宋" w:eastAsia="仿宋"/>
          <w:color w:val="auto"/>
          <w:sz w:val="28"/>
          <w:szCs w:val="28"/>
          <w:highlight w:val="none"/>
        </w:rPr>
        <w:t>质量</w:t>
      </w:r>
      <w:r>
        <w:rPr>
          <w:rFonts w:hint="eastAsia" w:ascii="仿宋" w:hAnsi="仿宋" w:eastAsia="仿宋"/>
          <w:color w:val="auto"/>
          <w:sz w:val="28"/>
          <w:szCs w:val="28"/>
          <w:highlight w:val="none"/>
          <w:lang w:eastAsia="zh-CN"/>
        </w:rPr>
        <w:t>。</w:t>
      </w:r>
    </w:p>
    <w:p w14:paraId="55B40EA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1D0F1D2A">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1.本合同的缺陷责任期为竣工</w:t>
      </w:r>
      <w:bookmarkStart w:id="173" w:name="_GoBack"/>
      <w:bookmarkEnd w:id="173"/>
      <w:r>
        <w:rPr>
          <w:rFonts w:hint="eastAsia" w:ascii="仿宋_GB2312" w:hAnsi="仿宋_GB2312" w:eastAsia="仿宋_GB2312" w:cs="仿宋_GB2312"/>
          <w:color w:val="auto"/>
          <w:sz w:val="28"/>
          <w:szCs w:val="28"/>
          <w:highlight w:val="none"/>
          <w:lang w:val="en-US" w:eastAsia="zh-CN"/>
        </w:rPr>
        <w:t>验收通过后</w:t>
      </w:r>
      <w:permStart w:id="6" w:edGrp="everyone"/>
      <w:r>
        <w:rPr>
          <w:rFonts w:hint="eastAsia" w:ascii="仿宋_GB2312" w:hAnsi="仿宋_GB2312" w:eastAsia="仿宋_GB2312" w:cs="仿宋_GB2312"/>
          <w:color w:val="auto"/>
          <w:sz w:val="28"/>
          <w:szCs w:val="28"/>
          <w:highlight w:val="none"/>
          <w:u w:val="single"/>
          <w:lang w:val="en-US" w:eastAsia="zh-CN"/>
        </w:rPr>
        <w:t xml:space="preserve">  2  </w:t>
      </w:r>
      <w:permEnd w:id="6"/>
      <w:r>
        <w:rPr>
          <w:rFonts w:hint="eastAsia" w:ascii="仿宋_GB2312" w:hAnsi="仿宋_GB2312" w:eastAsia="仿宋_GB2312" w:cs="仿宋_GB2312"/>
          <w:color w:val="auto"/>
          <w:sz w:val="28"/>
          <w:szCs w:val="28"/>
          <w:highlight w:val="none"/>
          <w:lang w:val="en-US" w:eastAsia="zh-CN"/>
        </w:rPr>
        <w:t>年，质量保证期（以下简称质保期）为交工验收合格后</w:t>
      </w:r>
      <w:permStart w:id="7" w:edGrp="everyone"/>
      <w:r>
        <w:rPr>
          <w:rFonts w:hint="eastAsia" w:ascii="仿宋_GB2312" w:hAnsi="仿宋_GB2312" w:eastAsia="仿宋_GB2312" w:cs="仿宋_GB2312"/>
          <w:color w:val="auto"/>
          <w:sz w:val="28"/>
          <w:szCs w:val="28"/>
          <w:highlight w:val="none"/>
          <w:u w:val="single"/>
          <w:lang w:val="en-US" w:eastAsia="zh-CN"/>
        </w:rPr>
        <w:t xml:space="preserve">  2  </w:t>
      </w:r>
      <w:permEnd w:id="7"/>
      <w:r>
        <w:rPr>
          <w:rFonts w:hint="eastAsia" w:ascii="仿宋_GB2312" w:hAnsi="仿宋_GB2312" w:eastAsia="仿宋_GB2312" w:cs="仿宋_GB2312"/>
          <w:color w:val="auto"/>
          <w:sz w:val="28"/>
          <w:szCs w:val="28"/>
          <w:highlight w:val="none"/>
          <w:lang w:val="en-US" w:eastAsia="zh-CN"/>
        </w:rPr>
        <w:t>年，若乙方在响应文件中承诺质保期更长的，质保期从其承诺。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D110F5">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3C6EDE5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29C50CF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4.合同标的中若有进口产品，则乙方必须提供原产地证明、单机产品序列号、原生产厂商质量保证书、报关单等证明材料。</w:t>
      </w:r>
    </w:p>
    <w:p w14:paraId="15E38B89">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产品在卸货后剥离包装物同时负责回收或送到包装清理指定地点。空包装物及包装箱乙方承诺不再回收，均无偿归甲方所有。</w:t>
      </w:r>
    </w:p>
    <w:p w14:paraId="2882334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结算方式及期限</w:t>
      </w:r>
    </w:p>
    <w:p w14:paraId="563683CC">
      <w:pPr>
        <w:pStyle w:val="8"/>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1.据实结算，货到现场并卸货到指定项目地点经项目部及甲方指定现场签收人验收签字，当供货金额达到合同金额的50%后方可办理第一批货款支付，支付已供货金额的70%。</w:t>
      </w:r>
    </w:p>
    <w:p w14:paraId="4B7FBE46">
      <w:pPr>
        <w:pStyle w:val="8"/>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2.产品全部供货到现场经甲方指定验收人验收合格并办理完成结算手续后，甲方向乙方支付至结算价的97%。</w:t>
      </w:r>
    </w:p>
    <w:p w14:paraId="3C53BC39">
      <w:pPr>
        <w:pStyle w:val="8"/>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3.剩余3%作为工程质保金，缺陷责任期结束后无息返还。</w:t>
      </w:r>
    </w:p>
    <w:p w14:paraId="6BBC2BCC">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成交</w:t>
      </w:r>
      <w:r>
        <w:rPr>
          <w:rFonts w:hint="eastAsia" w:ascii="仿宋_GB2312" w:hAnsi="仿宋_GB2312" w:eastAsia="仿宋_GB2312" w:cs="仿宋_GB2312"/>
          <w:color w:val="auto"/>
          <w:sz w:val="28"/>
          <w:szCs w:val="28"/>
          <w:highlight w:val="none"/>
        </w:rPr>
        <w:t>公示后，在合同签订前，乙方需向甲方支付合同总价</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%的履约保证金或提供合同总价</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%的见索即付银行保函。</w:t>
      </w:r>
    </w:p>
    <w:p w14:paraId="324BABE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5574696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.乙方提供符合采购人财务要求的国家税务局13%增值税专用发票后办理结算，发票需要做到“三流一致”，也即“货物、劳务及应税服务流”、“资金流”、“发票流”必须都是同一受票方。</w:t>
      </w:r>
    </w:p>
    <w:p w14:paraId="6FF04D7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7.双方特别约定：遵循“先开票、后付款”的原则，甲方付款前，乙方应按双方确认的应付金额向甲方提供增值税专用发票，并于发票开具后</w:t>
      </w:r>
      <w:permStart w:id="8" w:edGrp="everyone"/>
      <w:r>
        <w:rPr>
          <w:rFonts w:hint="eastAsia" w:ascii="仿宋_GB2312" w:hAnsi="仿宋_GB2312" w:eastAsia="仿宋_GB2312" w:cs="仿宋_GB2312"/>
          <w:color w:val="auto"/>
          <w:sz w:val="28"/>
          <w:szCs w:val="28"/>
          <w:highlight w:val="none"/>
          <w:u w:val="single"/>
          <w:lang w:val="en-US" w:eastAsia="zh-CN"/>
        </w:rPr>
        <w:t xml:space="preserve">  7  </w:t>
      </w:r>
      <w:permEnd w:id="8"/>
      <w:r>
        <w:rPr>
          <w:rFonts w:hint="eastAsia" w:ascii="仿宋_GB2312" w:hAnsi="仿宋_GB2312" w:eastAsia="仿宋_GB2312" w:cs="仿宋_GB2312"/>
          <w:color w:val="auto"/>
          <w:sz w:val="28"/>
          <w:szCs w:val="28"/>
          <w:highlight w:val="none"/>
          <w:lang w:val="en-US" w:eastAsia="zh-CN"/>
        </w:rPr>
        <w:t>日内提交给甲方。甲方收到乙方发票后，按合同约定向乙方付款，否则甲方有权迟延付款。</w:t>
      </w:r>
    </w:p>
    <w:p w14:paraId="4F508463">
      <w:pPr>
        <w:wordWrap w:val="0"/>
        <w:spacing w:line="560" w:lineRule="exact"/>
        <w:ind w:firstLine="560" w:firstLineChars="200"/>
        <w:rPr>
          <w:rFonts w:hint="default"/>
          <w:lang w:val="en-US" w:eastAsia="zh-CN"/>
        </w:rPr>
      </w:pPr>
      <w:r>
        <w:rPr>
          <w:rFonts w:hint="eastAsia" w:ascii="仿宋_GB2312" w:hAnsi="仿宋_GB2312" w:eastAsia="仿宋_GB2312" w:cs="仿宋_GB2312"/>
          <w:color w:val="auto"/>
          <w:sz w:val="28"/>
          <w:szCs w:val="28"/>
          <w:highlight w:val="none"/>
          <w:lang w:val="en-US" w:eastAsia="zh-CN"/>
        </w:rPr>
        <w:t>8.如甲方出现资金困难，乙方同意给予</w:t>
      </w:r>
      <w:permStart w:id="9" w:edGrp="everyone"/>
      <w:r>
        <w:rPr>
          <w:rFonts w:hint="eastAsia" w:ascii="仿宋_GB2312" w:hAnsi="仿宋_GB2312" w:eastAsia="仿宋_GB2312" w:cs="仿宋_GB2312"/>
          <w:color w:val="auto"/>
          <w:sz w:val="28"/>
          <w:szCs w:val="28"/>
          <w:highlight w:val="none"/>
          <w:u w:val="single"/>
          <w:lang w:val="en-US" w:eastAsia="zh-CN"/>
        </w:rPr>
        <w:t xml:space="preserve">  1  </w:t>
      </w:r>
      <w:permEnd w:id="9"/>
      <w:r>
        <w:rPr>
          <w:rFonts w:hint="eastAsia" w:ascii="仿宋_GB2312" w:hAnsi="仿宋_GB2312" w:eastAsia="仿宋_GB2312" w:cs="仿宋_GB2312"/>
          <w:color w:val="auto"/>
          <w:sz w:val="28"/>
          <w:szCs w:val="28"/>
          <w:highlight w:val="none"/>
          <w:lang w:val="en-US" w:eastAsia="zh-CN"/>
        </w:rPr>
        <w:t>个月的付款宽限期，</w:t>
      </w:r>
      <w:bookmarkStart w:id="64" w:name="_Hlk23929813"/>
      <w:r>
        <w:rPr>
          <w:rFonts w:hint="eastAsia" w:ascii="仿宋_GB2312" w:hAnsi="仿宋_GB2312" w:eastAsia="仿宋_GB2312" w:cs="仿宋_GB2312"/>
          <w:color w:val="auto"/>
          <w:sz w:val="28"/>
          <w:szCs w:val="28"/>
          <w:highlight w:val="none"/>
          <w:lang w:val="en-US" w:eastAsia="zh-CN"/>
        </w:rPr>
        <w:t>在此宽限期间内不视为甲方违约且不计息，</w:t>
      </w:r>
      <w:bookmarkEnd w:id="64"/>
      <w:r>
        <w:rPr>
          <w:rFonts w:hint="eastAsia" w:ascii="仿宋_GB2312" w:hAnsi="仿宋_GB2312" w:eastAsia="仿宋_GB2312" w:cs="仿宋_GB2312"/>
          <w:color w:val="auto"/>
          <w:sz w:val="28"/>
          <w:szCs w:val="28"/>
          <w:highlight w:val="none"/>
          <w:lang w:val="en-US" w:eastAsia="zh-CN"/>
        </w:rPr>
        <w:t>乙方不得以此为由中断本项目的货物供应和安装。</w:t>
      </w:r>
    </w:p>
    <w:p w14:paraId="6F09AC4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并完成安装，若逾期履行，每逾期一日，乙方应按照逾期交货金额或逾期安装产品金额的20%向甲方支付逾期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70E27CA">
      <w:pPr>
        <w:pStyle w:val="8"/>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未按设计及规范要求进行安装，甲方有权制止，并通知其停工整顿。由此造成的工期延误及经济损失，均由乙方负责。安装质量达不到合格标准，乙方应无条件返工至全部合格，还应按合同总价款的10%向甲方支付违约金。</w:t>
      </w:r>
    </w:p>
    <w:p w14:paraId="50B567DF">
      <w:pPr>
        <w:pStyle w:val="8"/>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7.乙方应按合同约定及时向甲方提供增值税专用发票，逾期提供的，每逾期一天，乙方应向甲方支付违约金</w:t>
      </w:r>
      <w:permStart w:id="10" w:edGrp="everyone"/>
      <w:r>
        <w:rPr>
          <w:rFonts w:hint="eastAsia" w:ascii="仿宋_GB2312" w:hAnsi="仿宋_GB2312" w:eastAsia="仿宋_GB2312" w:cs="仿宋_GB2312"/>
          <w:b w:val="0"/>
          <w:bCs w:val="0"/>
          <w:color w:val="auto"/>
          <w:sz w:val="28"/>
          <w:szCs w:val="28"/>
          <w:highlight w:val="none"/>
          <w:u w:val="single"/>
          <w:lang w:val="en-US" w:eastAsia="zh-CN"/>
        </w:rPr>
        <w:t xml:space="preserve">  1000  </w:t>
      </w:r>
      <w:permEnd w:id="10"/>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9.乙方违反本合同义务，致使甲方通过法律途径向乙方主张权利的，乙方除应承担相应赔偿及费用外，还应承担甲方为此而支出的律师费、诉讼费等。</w:t>
      </w:r>
    </w:p>
    <w:p w14:paraId="5C3A6FB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10.对于乙方因违反本合同约定需支付的违约金，甲方有权在应付货款中直接予以扣除。</w:t>
      </w:r>
    </w:p>
    <w:p w14:paraId="3290673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11.禁止转包分包</w:t>
      </w:r>
    </w:p>
    <w:p w14:paraId="6B15861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D67154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12709AC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0C7DAE6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3D2EE18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01B71394">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7AF58C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2FEA918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14:paraId="43FF0AFB">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14:paraId="6807CC0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08A79693">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408F7B06">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3216805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4920E14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4807B79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3726BC8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7DF6374D">
      <w:pPr>
        <w:pStyle w:val="8"/>
        <w:keepNext w:val="0"/>
        <w:keepLines w:val="0"/>
        <w:pageBreakBefore w:val="0"/>
        <w:kinsoku/>
        <w:overflowPunct/>
        <w:autoSpaceDE/>
        <w:autoSpaceDN/>
        <w:bidi w:val="0"/>
        <w:adjustRightInd/>
        <w:snapToGrid/>
        <w:spacing w:line="560" w:lineRule="exact"/>
        <w:ind w:firstLine="560" w:firstLineChars="200"/>
        <w:jc w:val="both"/>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4D3793A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6DE22DE6">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45BD0C9B">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1E98E504">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32050439">
      <w:pPr>
        <w:bidi w:val="0"/>
        <w:rPr>
          <w:rFonts w:hint="eastAsia"/>
          <w:highlight w:val="none"/>
          <w:lang w:val="en-US" w:eastAsia="zh-CN"/>
        </w:rPr>
      </w:pPr>
    </w:p>
    <w:p w14:paraId="13E2C6B5">
      <w:pPr>
        <w:pStyle w:val="8"/>
        <w:bidi w:val="0"/>
        <w:rPr>
          <w:rFonts w:hint="eastAsia"/>
          <w:highlight w:val="none"/>
          <w:lang w:val="en-US" w:eastAsia="zh-CN"/>
        </w:rPr>
      </w:pPr>
    </w:p>
    <w:p w14:paraId="73DF31A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11"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DBB9C56">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1194E362">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393E60E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25E9561E">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61A42EBA">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79DC59D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33A5BA6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28F5B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C1A0C4A">
      <w:pPr>
        <w:pStyle w:val="8"/>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电子邮件：    </w:t>
      </w:r>
      <w:r>
        <w:rPr>
          <w:rFonts w:hint="eastAsia"/>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电子邮件：</w:t>
      </w:r>
    </w:p>
    <w:p w14:paraId="520A1C0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ermEnd w:id="11"/>
    <w:p w14:paraId="2ED512F6">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73285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21EA67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06713E65">
      <w:pPr>
        <w:pStyle w:val="8"/>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2E90D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2"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2"/>
      <w:r>
        <w:rPr>
          <w:rFonts w:hint="eastAsia" w:ascii="仿宋_GB2312" w:hAnsi="仿宋_GB2312" w:eastAsia="仿宋_GB2312" w:cs="仿宋_GB2312"/>
          <w:color w:val="auto"/>
          <w:sz w:val="28"/>
          <w:szCs w:val="28"/>
          <w:highlight w:val="none"/>
          <w:lang w:val="en-US" w:eastAsia="zh-CN"/>
        </w:rPr>
        <w:t>（项目名称）的采购人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3" w:edGrp="everyone"/>
      <w:r>
        <w:rPr>
          <w:rFonts w:hint="eastAsia" w:ascii="仿宋_GB2312" w:hAnsi="仿宋_GB2312" w:eastAsia="仿宋_GB2312" w:cs="仿宋_GB2312"/>
          <w:color w:val="auto"/>
          <w:sz w:val="28"/>
          <w:szCs w:val="28"/>
          <w:highlight w:val="none"/>
          <w:u w:val="single"/>
          <w:lang w:val="en-US" w:eastAsia="zh-CN"/>
        </w:rPr>
        <w:t xml:space="preserve">               </w:t>
      </w:r>
      <w:permEnd w:id="13"/>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2BF35B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28877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6C6B09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4"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4"/>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204846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27BE99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5961C7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0432F04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2677FF2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0E105A4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6DA86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3DFA0E0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1B91B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646019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50700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3953C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6FC643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0180A9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37F939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0AA7A01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72AD2F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040B7B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7F74B4D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6301BC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73A1109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4A6A0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186770F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70377D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060665C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0C76914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1938AE6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3BDA30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7DEFB3C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4A924C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1C5CC43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7A06A240">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744ACC02">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78BB26C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7DBAF322">
      <w:pPr>
        <w:pStyle w:val="8"/>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4BFF88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r>
        <w:rPr>
          <w:rFonts w:hint="eastAsia" w:ascii="仿宋_GB2312" w:hAnsi="仿宋_GB2312" w:eastAsia="仿宋_GB2312" w:cs="仿宋_GB2312"/>
          <w:color w:val="auto"/>
          <w:spacing w:val="0"/>
          <w:sz w:val="28"/>
          <w:szCs w:val="28"/>
          <w:highlight w:val="none"/>
          <w:lang w:val="en-US" w:eastAsia="zh-CN"/>
        </w:rPr>
        <w:t xml:space="preserve"> </w:t>
      </w:r>
      <w:permStart w:id="16"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6"/>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w:t>
      </w:r>
      <w:r>
        <w:rPr>
          <w:rFonts w:hint="eastAsia" w:ascii="仿宋_GB2312" w:hAnsi="仿宋_GB2312" w:eastAsia="仿宋_GB2312" w:cs="仿宋_GB2312"/>
          <w:color w:val="auto"/>
          <w:sz w:val="28"/>
          <w:szCs w:val="28"/>
          <w:highlight w:val="none"/>
          <w:lang w:val="en-US" w:eastAsia="zh-CN"/>
        </w:rPr>
        <w:t>做</w:t>
      </w:r>
      <w:r>
        <w:rPr>
          <w:rFonts w:hint="eastAsia" w:ascii="仿宋_GB2312" w:hAnsi="仿宋_GB2312" w:eastAsia="仿宋_GB2312" w:cs="仿宋_GB2312"/>
          <w:color w:val="auto"/>
          <w:sz w:val="28"/>
          <w:szCs w:val="28"/>
          <w:highlight w:val="none"/>
        </w:rPr>
        <w:t>好本项目的安全管理工作，本项目</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7" w:edGrp="everyone"/>
      <w:r>
        <w:rPr>
          <w:rFonts w:hint="eastAsia" w:ascii="仿宋_GB2312" w:hAnsi="仿宋_GB2312" w:eastAsia="仿宋_GB2312" w:cs="仿宋_GB2312"/>
          <w:color w:val="auto"/>
          <w:sz w:val="28"/>
          <w:szCs w:val="28"/>
          <w:highlight w:val="none"/>
          <w:u w:val="single"/>
          <w:lang w:val="en-US" w:eastAsia="zh-CN"/>
        </w:rPr>
        <w:t xml:space="preserve">              </w:t>
      </w:r>
      <w:permEnd w:id="17"/>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B164D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w:t>
      </w:r>
      <w:r>
        <w:rPr>
          <w:rFonts w:hint="eastAsia" w:ascii="仿宋_GB2312" w:hAnsi="仿宋_GB2312" w:eastAsia="仿宋_GB2312" w:cs="仿宋_GB2312"/>
          <w:color w:val="auto"/>
          <w:sz w:val="28"/>
          <w:szCs w:val="28"/>
          <w:highlight w:val="none"/>
          <w:lang w:val="en-US" w:eastAsia="zh-CN"/>
        </w:rPr>
        <w:t>材料供应、运输、卸货、安装等</w:t>
      </w:r>
      <w:r>
        <w:rPr>
          <w:rFonts w:hint="eastAsia" w:ascii="仿宋_GB2312" w:hAnsi="仿宋_GB2312" w:eastAsia="仿宋_GB2312" w:cs="仿宋_GB2312"/>
          <w:color w:val="auto"/>
          <w:sz w:val="28"/>
          <w:szCs w:val="28"/>
          <w:highlight w:val="none"/>
        </w:rPr>
        <w:t>安全事项协商一致，双方达成如下协议：</w:t>
      </w:r>
    </w:p>
    <w:p w14:paraId="61F02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29AFE1C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14:paraId="3346E5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395A7C4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702E1E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highlight w:val="none"/>
          <w:lang w:val="en-US" w:eastAsia="zh-CN"/>
        </w:rPr>
        <w:t>或岗位证书</w:t>
      </w:r>
      <w:r>
        <w:rPr>
          <w:rFonts w:hint="eastAsia" w:ascii="仿宋_GB2312" w:hAnsi="仿宋_GB2312" w:eastAsia="仿宋_GB2312" w:cs="仿宋_GB2312"/>
          <w:color w:val="auto"/>
          <w:sz w:val="28"/>
          <w:szCs w:val="28"/>
          <w:highlight w:val="none"/>
        </w:rPr>
        <w:t>后，方准持证上岗。</w:t>
      </w:r>
    </w:p>
    <w:p w14:paraId="1879B6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5173D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操作人员上岗，必须按规定穿戴防护用品。施工负责人和安全</w:t>
      </w:r>
      <w:r>
        <w:rPr>
          <w:rFonts w:hint="eastAsia" w:ascii="仿宋_GB2312" w:hAnsi="仿宋_GB2312" w:eastAsia="仿宋_GB2312" w:cs="仿宋_GB2312"/>
          <w:color w:val="auto"/>
          <w:sz w:val="28"/>
          <w:szCs w:val="28"/>
          <w:highlight w:val="none"/>
          <w:lang w:val="en-US" w:eastAsia="zh-CN"/>
        </w:rPr>
        <w:t>管理人</w:t>
      </w:r>
      <w:r>
        <w:rPr>
          <w:rFonts w:hint="eastAsia" w:ascii="仿宋_GB2312" w:hAnsi="仿宋_GB2312" w:eastAsia="仿宋_GB2312" w:cs="仿宋_GB2312"/>
          <w:color w:val="auto"/>
          <w:sz w:val="28"/>
          <w:szCs w:val="28"/>
          <w:highlight w:val="none"/>
        </w:rPr>
        <w:t>员应随时检查劳动防护用品的穿戴情况，不按规定穿戴防护用品的人员不得上岗。</w:t>
      </w:r>
      <w:r>
        <w:rPr>
          <w:rFonts w:hint="eastAsia" w:ascii="仿宋_GB2312" w:hAnsi="仿宋_GB2312" w:eastAsia="仿宋_GB2312" w:cs="仿宋_GB2312"/>
          <w:color w:val="auto"/>
          <w:sz w:val="28"/>
          <w:szCs w:val="28"/>
          <w:highlight w:val="none"/>
          <w:lang w:val="en-US" w:eastAsia="zh-CN"/>
        </w:rPr>
        <w:t>在甲方区域，禁止出现无证操作、无证驾驶现象。</w:t>
      </w:r>
    </w:p>
    <w:p w14:paraId="71A546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highlight w:val="none"/>
          <w:lang w:eastAsia="zh-CN"/>
        </w:rPr>
        <w:t>。</w:t>
      </w:r>
    </w:p>
    <w:p w14:paraId="4360A81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施工中采用新技术、新工艺、新设备、新材料时，必须制定相应的安全技术措施，施工现场必须具有相关的安全标志牌。</w:t>
      </w:r>
    </w:p>
    <w:p w14:paraId="34331A6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4961DD6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在甲方运输场地内的运输、材料卸货、安装等安全</w:t>
      </w:r>
      <w:r>
        <w:rPr>
          <w:rFonts w:hint="eastAsia" w:ascii="仿宋_GB2312" w:hAnsi="仿宋_GB2312" w:eastAsia="仿宋_GB2312" w:cs="仿宋_GB2312"/>
          <w:color w:val="auto"/>
          <w:sz w:val="28"/>
          <w:szCs w:val="28"/>
          <w:highlight w:val="none"/>
        </w:rPr>
        <w:t>，如发生各类人身、财产事故，造成的一切损失均由乙方负责承担，甲方概不负责。</w:t>
      </w:r>
    </w:p>
    <w:p w14:paraId="36D51C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、争议的解决 </w:t>
      </w:r>
    </w:p>
    <w:p w14:paraId="707274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234A1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十三、</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5F37D6B8">
      <w:pPr>
        <w:pStyle w:val="8"/>
        <w:widowControl w:val="0"/>
        <w:numPr>
          <w:ilvl w:val="0"/>
          <w:numId w:val="0"/>
        </w:numPr>
        <w:spacing w:after="120"/>
        <w:jc w:val="both"/>
        <w:rPr>
          <w:rFonts w:hint="eastAsia"/>
          <w:highlight w:val="none"/>
        </w:rPr>
      </w:pPr>
    </w:p>
    <w:p w14:paraId="4B89D47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78DC61A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6D4138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252E663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381E3B3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073F26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highlight w:val="none"/>
          <w:lang w:val="en-US" w:eastAsia="zh-CN"/>
        </w:rPr>
      </w:pPr>
    </w:p>
    <w:p w14:paraId="397ACF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4C84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18BD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CD36D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308FBB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26EB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6618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6120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454D9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E2E439F">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59F73C35">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6CC96791">
      <w:pPr>
        <w:pStyle w:val="20"/>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p>
    <w:p w14:paraId="08119ECB">
      <w:pPr>
        <w:pStyle w:val="20"/>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61702EFC"/>
    <w:p w14:paraId="3E2E0882">
      <w:pPr>
        <w:pStyle w:val="2"/>
      </w:pPr>
    </w:p>
    <w:p w14:paraId="25953D67"/>
    <w:p w14:paraId="18DBFC27">
      <w:pPr>
        <w:pStyle w:val="2"/>
      </w:pPr>
    </w:p>
    <w:p w14:paraId="76893493"/>
    <w:p w14:paraId="1F61BA72">
      <w:pPr>
        <w:pStyle w:val="2"/>
      </w:pPr>
    </w:p>
    <w:p w14:paraId="1A2DB473">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lang w:val="en-US" w:eastAsia="zh-CN"/>
        </w:rPr>
      </w:pPr>
    </w:p>
    <w:p w14:paraId="44C7AAEA">
      <w:pPr>
        <w:pStyle w:val="11"/>
        <w:bidi w:val="0"/>
        <w:rPr>
          <w:rFonts w:hint="eastAsia"/>
          <w:color w:val="auto"/>
          <w:highlight w:val="none"/>
        </w:rPr>
      </w:pPr>
    </w:p>
    <w:p w14:paraId="2A3C4900">
      <w:pPr>
        <w:pStyle w:val="33"/>
        <w:jc w:val="center"/>
        <w:rPr>
          <w:rFonts w:hint="eastAsia" w:ascii="宋体" w:hAnsi="宋体" w:eastAsia="宋体" w:cs="宋体"/>
          <w:b/>
          <w:bCs/>
          <w:color w:val="auto"/>
          <w:sz w:val="28"/>
          <w:szCs w:val="28"/>
          <w:highlight w:val="none"/>
          <w:lang w:val="en-US" w:eastAsia="zh-CN"/>
        </w:rPr>
      </w:pPr>
    </w:p>
    <w:p w14:paraId="1759D57E">
      <w:pPr>
        <w:pStyle w:val="33"/>
        <w:jc w:val="center"/>
        <w:rPr>
          <w:rFonts w:hint="eastAsia" w:ascii="宋体" w:hAnsi="宋体" w:eastAsia="宋体" w:cs="宋体"/>
          <w:b/>
          <w:bCs/>
          <w:color w:val="auto"/>
          <w:sz w:val="28"/>
          <w:szCs w:val="28"/>
          <w:highlight w:val="none"/>
          <w:lang w:val="en-US" w:eastAsia="zh-CN"/>
        </w:rPr>
      </w:pPr>
    </w:p>
    <w:p w14:paraId="4C149A90">
      <w:pPr>
        <w:pStyle w:val="33"/>
        <w:jc w:val="center"/>
        <w:rPr>
          <w:rFonts w:hint="eastAsia" w:ascii="宋体" w:hAnsi="宋体" w:eastAsia="宋体" w:cs="宋体"/>
          <w:b/>
          <w:bCs/>
          <w:color w:val="auto"/>
          <w:sz w:val="28"/>
          <w:szCs w:val="28"/>
          <w:highlight w:val="none"/>
          <w:lang w:val="en-US" w:eastAsia="zh-CN"/>
        </w:rPr>
      </w:pPr>
    </w:p>
    <w:p w14:paraId="1CB452E7">
      <w:pPr>
        <w:pStyle w:val="33"/>
        <w:jc w:val="center"/>
        <w:rPr>
          <w:rFonts w:hint="eastAsia" w:ascii="宋体" w:hAnsi="宋体" w:eastAsia="宋体" w:cs="宋体"/>
          <w:b/>
          <w:bCs/>
          <w:color w:val="auto"/>
          <w:sz w:val="28"/>
          <w:szCs w:val="28"/>
          <w:highlight w:val="none"/>
          <w:lang w:val="en-US" w:eastAsia="zh-CN"/>
        </w:rPr>
      </w:pPr>
    </w:p>
    <w:p w14:paraId="563846A0">
      <w:pPr>
        <w:pStyle w:val="33"/>
        <w:jc w:val="center"/>
        <w:rPr>
          <w:rFonts w:hint="eastAsia" w:ascii="宋体" w:hAnsi="宋体" w:eastAsia="宋体" w:cs="宋体"/>
          <w:b/>
          <w:bCs/>
          <w:color w:val="auto"/>
          <w:sz w:val="28"/>
          <w:szCs w:val="28"/>
          <w:highlight w:val="none"/>
          <w:lang w:val="en-US" w:eastAsia="zh-CN"/>
        </w:rPr>
      </w:pPr>
    </w:p>
    <w:p w14:paraId="22ED5897">
      <w:pPr>
        <w:pStyle w:val="33"/>
        <w:jc w:val="center"/>
        <w:rPr>
          <w:rFonts w:hint="eastAsia" w:ascii="宋体" w:hAnsi="宋体" w:eastAsia="宋体" w:cs="宋体"/>
          <w:b/>
          <w:bCs/>
          <w:color w:val="auto"/>
          <w:sz w:val="28"/>
          <w:szCs w:val="28"/>
          <w:highlight w:val="none"/>
          <w:lang w:val="en-US" w:eastAsia="zh-CN"/>
        </w:rPr>
      </w:pPr>
    </w:p>
    <w:p w14:paraId="118749DD">
      <w:pPr>
        <w:pStyle w:val="33"/>
        <w:jc w:val="center"/>
        <w:rPr>
          <w:rFonts w:hint="eastAsia" w:ascii="宋体" w:hAnsi="宋体" w:eastAsia="宋体" w:cs="宋体"/>
          <w:b/>
          <w:bCs/>
          <w:color w:val="auto"/>
          <w:sz w:val="28"/>
          <w:szCs w:val="28"/>
          <w:highlight w:val="none"/>
          <w:lang w:val="en-US" w:eastAsia="zh-CN"/>
        </w:rPr>
      </w:pPr>
    </w:p>
    <w:p w14:paraId="608E972F">
      <w:pPr>
        <w:pStyle w:val="33"/>
        <w:jc w:val="center"/>
        <w:rPr>
          <w:rFonts w:hint="eastAsia" w:ascii="宋体" w:hAnsi="宋体" w:eastAsia="宋体" w:cs="宋体"/>
          <w:b/>
          <w:bCs/>
          <w:color w:val="auto"/>
          <w:sz w:val="28"/>
          <w:szCs w:val="28"/>
          <w:highlight w:val="none"/>
          <w:lang w:val="en-US" w:eastAsia="zh-CN"/>
        </w:rPr>
      </w:pPr>
    </w:p>
    <w:p w14:paraId="3F970EF5">
      <w:pPr>
        <w:pStyle w:val="33"/>
        <w:jc w:val="center"/>
        <w:rPr>
          <w:rFonts w:hint="eastAsia" w:ascii="宋体" w:hAnsi="宋体" w:eastAsia="宋体" w:cs="宋体"/>
          <w:b/>
          <w:bCs/>
          <w:color w:val="auto"/>
          <w:sz w:val="28"/>
          <w:szCs w:val="28"/>
          <w:highlight w:val="none"/>
          <w:lang w:val="en-US" w:eastAsia="zh-CN"/>
        </w:rPr>
      </w:pPr>
    </w:p>
    <w:p w14:paraId="57B018B5">
      <w:pPr>
        <w:pStyle w:val="33"/>
        <w:jc w:val="center"/>
        <w:rPr>
          <w:rFonts w:hint="eastAsia" w:ascii="宋体" w:hAnsi="宋体" w:eastAsia="宋体" w:cs="宋体"/>
          <w:b/>
          <w:bCs/>
          <w:color w:val="auto"/>
          <w:sz w:val="28"/>
          <w:szCs w:val="28"/>
          <w:highlight w:val="none"/>
          <w:lang w:val="en-US" w:eastAsia="zh-CN"/>
        </w:rPr>
      </w:pPr>
    </w:p>
    <w:p w14:paraId="65A8F7E8">
      <w:pPr>
        <w:pStyle w:val="33"/>
        <w:jc w:val="center"/>
        <w:rPr>
          <w:rFonts w:hint="eastAsia" w:ascii="宋体" w:hAnsi="宋体" w:eastAsia="宋体" w:cs="宋体"/>
          <w:b/>
          <w:bCs/>
          <w:color w:val="auto"/>
          <w:sz w:val="28"/>
          <w:szCs w:val="28"/>
          <w:highlight w:val="none"/>
          <w:lang w:val="en-US" w:eastAsia="zh-CN"/>
        </w:rPr>
      </w:pPr>
    </w:p>
    <w:p w14:paraId="0E8C267E">
      <w:pPr>
        <w:pStyle w:val="33"/>
        <w:jc w:val="center"/>
        <w:rPr>
          <w:rFonts w:hint="eastAsia" w:ascii="宋体" w:hAnsi="宋体" w:eastAsia="宋体" w:cs="宋体"/>
          <w:b/>
          <w:bCs/>
          <w:color w:val="auto"/>
          <w:sz w:val="28"/>
          <w:szCs w:val="28"/>
          <w:highlight w:val="none"/>
          <w:lang w:val="en-US" w:eastAsia="zh-CN"/>
        </w:rPr>
      </w:pPr>
    </w:p>
    <w:p w14:paraId="297C38F8">
      <w:pPr>
        <w:pStyle w:val="3"/>
        <w:numPr>
          <w:ilvl w:val="255"/>
          <w:numId w:val="0"/>
        </w:numPr>
        <w:spacing w:before="312" w:after="312"/>
        <w:ind w:left="402"/>
        <w:rPr>
          <w:rFonts w:ascii="Times New Roman" w:hAnsi="Times New Roman" w:eastAsia="宋体" w:cs="Times New Roman"/>
          <w:color w:val="auto"/>
          <w:highlight w:val="none"/>
        </w:rPr>
      </w:pPr>
      <w:bookmarkStart w:id="65" w:name="_Toc7189"/>
      <w:r>
        <w:rPr>
          <w:rFonts w:hint="eastAsia" w:ascii="Times New Roman" w:hAnsi="Times New Roman" w:eastAsia="宋体" w:cs="Times New Roman"/>
          <w:color w:val="auto"/>
          <w:highlight w:val="none"/>
          <w:lang w:val="en-US" w:eastAsia="zh-CN"/>
        </w:rPr>
        <w:t>第五章</w:t>
      </w:r>
      <w:r>
        <w:rPr>
          <w:rFonts w:hint="eastAsia" w:ascii="Times New Roman" w:hAnsi="Times New Roman" w:eastAsia="宋体" w:cs="Times New Roman"/>
          <w:color w:val="FF0000"/>
          <w:highlight w:val="none"/>
          <w:lang w:val="en-US" w:eastAsia="zh-CN"/>
        </w:rPr>
        <w:t xml:space="preserve"> </w:t>
      </w:r>
      <w:bookmarkStart w:id="66" w:name="_Toc25485"/>
      <w:bookmarkStart w:id="67" w:name="_Toc31285"/>
      <w:r>
        <w:rPr>
          <w:rFonts w:hint="eastAsia" w:ascii="Times New Roman" w:hAnsi="Times New Roman" w:eastAsia="宋体" w:cs="Times New Roman"/>
          <w:color w:val="auto"/>
          <w:highlight w:val="none"/>
          <w:lang w:val="en-US" w:eastAsia="zh-CN"/>
        </w:rPr>
        <w:t>采购需求及清单</w:t>
      </w:r>
      <w:bookmarkEnd w:id="65"/>
      <w:bookmarkEnd w:id="66"/>
      <w:bookmarkEnd w:id="67"/>
    </w:p>
    <w:p w14:paraId="110CBC0C">
      <w:pPr>
        <w:jc w:val="center"/>
        <w:rPr>
          <w:rFonts w:hint="eastAsia" w:ascii="黑体" w:hAnsi="黑体" w:eastAsia="黑体" w:cs="黑体"/>
          <w:color w:val="FF0000"/>
          <w:sz w:val="32"/>
          <w:szCs w:val="32"/>
          <w:highlight w:val="none"/>
          <w:lang w:val="en-US" w:eastAsia="zh-CN"/>
        </w:rPr>
      </w:pPr>
      <w:r>
        <w:rPr>
          <w:rFonts w:hint="eastAsia" w:ascii="黑体" w:hAnsi="黑体" w:eastAsia="黑体" w:cs="黑体"/>
          <w:color w:val="FF0000"/>
          <w:sz w:val="32"/>
          <w:szCs w:val="32"/>
          <w:highlight w:val="none"/>
          <w:lang w:val="en-US" w:eastAsia="zh-CN"/>
        </w:rPr>
        <w:t>材料品牌推荐表</w:t>
      </w:r>
    </w:p>
    <w:p w14:paraId="19C49D4D">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（详见附件）</w:t>
      </w:r>
    </w:p>
    <w:p w14:paraId="5DC1FAB5">
      <w:pPr>
        <w:pStyle w:val="19"/>
        <w:numPr>
          <w:ilvl w:val="0"/>
          <w:numId w:val="0"/>
        </w:numPr>
        <w:jc w:val="both"/>
        <w:rPr>
          <w:rFonts w:hint="eastAsia" w:ascii="宋体" w:hAnsi="宋体" w:cs="宋体"/>
          <w:b/>
          <w:color w:val="auto"/>
          <w:sz w:val="21"/>
          <w:szCs w:val="21"/>
          <w:highlight w:val="none"/>
        </w:rPr>
      </w:pPr>
    </w:p>
    <w:p w14:paraId="4FA5350D">
      <w:pPr>
        <w:pStyle w:val="19"/>
        <w:numPr>
          <w:ilvl w:val="0"/>
          <w:numId w:val="0"/>
        </w:numPr>
        <w:jc w:val="both"/>
        <w:rPr>
          <w:rFonts w:hint="eastAsia" w:ascii="宋体" w:hAnsi="宋体" w:cs="宋体"/>
          <w:b/>
          <w:color w:val="auto"/>
          <w:sz w:val="21"/>
          <w:szCs w:val="21"/>
          <w:highlight w:val="none"/>
        </w:rPr>
      </w:pPr>
    </w:p>
    <w:p w14:paraId="45C5A6E3">
      <w:pPr>
        <w:pStyle w:val="19"/>
        <w:numPr>
          <w:ilvl w:val="0"/>
          <w:numId w:val="3"/>
        </w:numPr>
        <w:ind w:firstLine="0" w:firstLineChars="0"/>
        <w:jc w:val="center"/>
        <w:rPr>
          <w:rFonts w:hint="eastAsia" w:ascii="宋体" w:hAnsi="宋体" w:cs="宋体"/>
          <w:b/>
          <w:color w:val="auto"/>
          <w:sz w:val="21"/>
          <w:szCs w:val="21"/>
          <w:highlight w:val="none"/>
        </w:rPr>
      </w:pPr>
      <w:r>
        <w:rPr>
          <w:rFonts w:hint="eastAsia" w:ascii="宋体" w:hAnsi="宋体" w:cs="宋体"/>
          <w:b/>
          <w:color w:val="auto"/>
          <w:sz w:val="28"/>
          <w:szCs w:val="28"/>
          <w:highlight w:val="none"/>
        </w:rPr>
        <w:t>材料报价清单</w:t>
      </w:r>
    </w:p>
    <w:p w14:paraId="6041B04F">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（详见附件）</w:t>
      </w:r>
    </w:p>
    <w:p w14:paraId="2AA64ED5">
      <w:pPr>
        <w:pStyle w:val="8"/>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1.上述费用包括货物的原材料、生产、包装、运输、</w:t>
      </w:r>
      <w:r>
        <w:rPr>
          <w:rFonts w:hint="eastAsia" w:ascii="宋体" w:hAnsi="宋体" w:cs="宋体"/>
          <w:color w:val="auto"/>
          <w:sz w:val="24"/>
          <w:szCs w:val="24"/>
          <w:highlight w:val="none"/>
          <w:lang w:val="en-US" w:eastAsia="zh-CN"/>
        </w:rPr>
        <w:t>安装费、</w:t>
      </w:r>
      <w:r>
        <w:rPr>
          <w:rFonts w:hint="eastAsia" w:ascii="宋体" w:hAnsi="宋体" w:cs="宋体"/>
          <w:color w:val="auto"/>
          <w:sz w:val="24"/>
          <w:szCs w:val="24"/>
          <w:highlight w:val="none"/>
        </w:rPr>
        <w:t>保险、卸货叉车费（如有）、人工费、卸车费、利润、税费等相关费用。</w:t>
      </w:r>
    </w:p>
    <w:p w14:paraId="0E76C90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726843D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标的物第三方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51A7DD4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none"/>
          <w:lang w:val="en-US" w:eastAsia="zh-CN"/>
        </w:rPr>
        <w:t>标的物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B07798">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人应充分理解并全力配合采购人的</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材料采购、进场工作，并承担因送货次数增加而引起的运输成本增加等相应风险。</w:t>
      </w:r>
    </w:p>
    <w:p w14:paraId="6078277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04BA7EFC">
      <w:pPr>
        <w:spacing w:beforeLines="0" w:afterLines="0"/>
        <w:rPr>
          <w:rFonts w:hint="default"/>
          <w:color w:val="auto"/>
          <w:sz w:val="21"/>
          <w:szCs w:val="24"/>
          <w:highlight w:val="none"/>
        </w:rPr>
      </w:pPr>
    </w:p>
    <w:p w14:paraId="2B294AE4">
      <w:pPr>
        <w:bidi w:val="0"/>
        <w:rPr>
          <w:rFonts w:hint="eastAsia"/>
          <w:color w:val="auto"/>
          <w:highlight w:val="none"/>
          <w:lang w:val="en-US" w:eastAsia="zh-CN"/>
        </w:rPr>
      </w:pPr>
    </w:p>
    <w:p w14:paraId="621B7C68">
      <w:pPr>
        <w:bidi w:val="0"/>
        <w:rPr>
          <w:rFonts w:hint="eastAsia"/>
          <w:color w:val="auto"/>
          <w:highlight w:val="none"/>
          <w:lang w:val="en-US" w:eastAsia="zh-CN"/>
        </w:rPr>
      </w:pPr>
    </w:p>
    <w:p w14:paraId="3D82E133">
      <w:pPr>
        <w:bidi w:val="0"/>
        <w:rPr>
          <w:rFonts w:hint="eastAsia"/>
          <w:color w:val="auto"/>
          <w:highlight w:val="none"/>
          <w:lang w:val="en-US" w:eastAsia="zh-CN"/>
        </w:rPr>
      </w:pPr>
    </w:p>
    <w:p w14:paraId="31AE0F03">
      <w:pPr>
        <w:bidi w:val="0"/>
        <w:rPr>
          <w:rFonts w:hint="eastAsia"/>
          <w:color w:val="auto"/>
          <w:highlight w:val="none"/>
          <w:lang w:val="en-US" w:eastAsia="zh-CN"/>
        </w:rPr>
      </w:pPr>
    </w:p>
    <w:p w14:paraId="7768D7FB">
      <w:pPr>
        <w:bidi w:val="0"/>
        <w:rPr>
          <w:rFonts w:hint="eastAsia"/>
          <w:color w:val="auto"/>
          <w:highlight w:val="none"/>
          <w:lang w:val="en-US" w:eastAsia="zh-CN"/>
        </w:rPr>
      </w:pPr>
    </w:p>
    <w:p w14:paraId="3624D419">
      <w:pPr>
        <w:bidi w:val="0"/>
        <w:rPr>
          <w:rFonts w:hint="eastAsia"/>
          <w:color w:val="auto"/>
          <w:highlight w:val="none"/>
          <w:lang w:val="en-US" w:eastAsia="zh-CN"/>
        </w:rPr>
      </w:pPr>
    </w:p>
    <w:p w14:paraId="1CA144A5">
      <w:pPr>
        <w:bidi w:val="0"/>
        <w:rPr>
          <w:rFonts w:hint="eastAsia"/>
          <w:color w:val="auto"/>
          <w:highlight w:val="none"/>
          <w:lang w:val="en-US" w:eastAsia="zh-CN"/>
        </w:rPr>
      </w:pPr>
    </w:p>
    <w:p w14:paraId="5898F86C">
      <w:pPr>
        <w:bidi w:val="0"/>
        <w:rPr>
          <w:rFonts w:hint="eastAsia"/>
          <w:color w:val="auto"/>
          <w:highlight w:val="none"/>
          <w:lang w:val="en-US" w:eastAsia="zh-CN"/>
        </w:rPr>
      </w:pPr>
    </w:p>
    <w:p w14:paraId="32051DD8">
      <w:pPr>
        <w:bidi w:val="0"/>
        <w:rPr>
          <w:rFonts w:hint="eastAsia"/>
          <w:color w:val="auto"/>
          <w:highlight w:val="none"/>
          <w:lang w:val="en-US" w:eastAsia="zh-CN"/>
        </w:rPr>
      </w:pPr>
    </w:p>
    <w:p w14:paraId="7A209A64">
      <w:pPr>
        <w:rPr>
          <w:rFonts w:hint="eastAsia"/>
          <w:color w:val="auto"/>
          <w:highlight w:val="none"/>
          <w:lang w:val="en-US" w:eastAsia="zh-CN"/>
        </w:rPr>
      </w:pPr>
    </w:p>
    <w:p w14:paraId="79600E89">
      <w:pPr>
        <w:pStyle w:val="3"/>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rPr>
      </w:pPr>
      <w:bookmarkStart w:id="68" w:name="_Toc8292"/>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bookmarkEnd w:id="68"/>
    </w:p>
    <w:p w14:paraId="09D6E9D9">
      <w:pPr>
        <w:pStyle w:val="2"/>
        <w:rPr>
          <w:rFonts w:hint="eastAsia" w:ascii="方正小标宋简体" w:hAnsi="方正小标宋简体" w:eastAsia="方正小标宋简体" w:cs="方正小标宋简体"/>
          <w:color w:val="auto"/>
          <w:kern w:val="2"/>
          <w:sz w:val="44"/>
          <w:szCs w:val="44"/>
          <w:highlight w:val="none"/>
          <w:u w:val="single"/>
        </w:rPr>
      </w:pPr>
      <w:bookmarkStart w:id="69" w:name="_Toc26419"/>
    </w:p>
    <w:p w14:paraId="6E954DF9">
      <w:pPr>
        <w:rPr>
          <w:rFonts w:hint="eastAsia" w:ascii="方正小标宋简体" w:hAnsi="方正小标宋简体" w:eastAsia="方正小标宋简体" w:cs="方正小标宋简体"/>
          <w:color w:val="auto"/>
          <w:kern w:val="2"/>
          <w:sz w:val="44"/>
          <w:szCs w:val="44"/>
          <w:highlight w:val="none"/>
          <w:u w:val="single"/>
        </w:rPr>
      </w:pPr>
    </w:p>
    <w:p w14:paraId="7078C935">
      <w:pPr>
        <w:pStyle w:val="8"/>
        <w:rPr>
          <w:rFonts w:hint="eastAsia" w:ascii="方正小标宋简体" w:hAnsi="方正小标宋简体" w:eastAsia="方正小标宋简体" w:cs="方正小标宋简体"/>
          <w:color w:val="auto"/>
          <w:kern w:val="2"/>
          <w:sz w:val="44"/>
          <w:szCs w:val="44"/>
          <w:highlight w:val="none"/>
          <w:u w:val="single"/>
        </w:rPr>
      </w:pPr>
    </w:p>
    <w:p w14:paraId="3514E7CF">
      <w:pPr>
        <w:pStyle w:val="9"/>
        <w:rPr>
          <w:rFonts w:hint="eastAsia" w:ascii="方正小标宋简体" w:hAnsi="方正小标宋简体" w:eastAsia="方正小标宋简体" w:cs="方正小标宋简体"/>
          <w:color w:val="auto"/>
          <w:kern w:val="2"/>
          <w:sz w:val="44"/>
          <w:szCs w:val="44"/>
          <w:highlight w:val="none"/>
          <w:u w:val="single"/>
        </w:rPr>
      </w:pPr>
    </w:p>
    <w:p w14:paraId="367D7D36">
      <w:pPr>
        <w:pStyle w:val="10"/>
        <w:rPr>
          <w:rFonts w:hint="eastAsia" w:ascii="方正小标宋简体" w:hAnsi="方正小标宋简体" w:eastAsia="方正小标宋简体" w:cs="方正小标宋简体"/>
          <w:color w:val="auto"/>
          <w:kern w:val="2"/>
          <w:sz w:val="44"/>
          <w:szCs w:val="44"/>
          <w:highlight w:val="none"/>
          <w:u w:val="single"/>
        </w:rPr>
      </w:pPr>
    </w:p>
    <w:p w14:paraId="7DCB3744">
      <w:pPr>
        <w:rPr>
          <w:rFonts w:hint="eastAsia" w:ascii="方正小标宋简体" w:hAnsi="方正小标宋简体" w:eastAsia="方正小标宋简体" w:cs="方正小标宋简体"/>
          <w:color w:val="auto"/>
          <w:kern w:val="2"/>
          <w:sz w:val="44"/>
          <w:szCs w:val="44"/>
          <w:highlight w:val="none"/>
          <w:u w:val="single"/>
        </w:rPr>
      </w:pPr>
    </w:p>
    <w:p w14:paraId="3B18BD7D">
      <w:pPr>
        <w:rPr>
          <w:rFonts w:hint="eastAsia" w:ascii="方正小标宋简体" w:hAnsi="方正小标宋简体" w:eastAsia="方正小标宋简体" w:cs="方正小标宋简体"/>
          <w:color w:val="auto"/>
          <w:kern w:val="2"/>
          <w:sz w:val="44"/>
          <w:szCs w:val="44"/>
          <w:highlight w:val="none"/>
          <w:u w:val="single"/>
        </w:rPr>
      </w:pPr>
    </w:p>
    <w:p w14:paraId="35D4A841">
      <w:pPr>
        <w:rPr>
          <w:rFonts w:hint="eastAsia" w:ascii="方正小标宋简体" w:hAnsi="方正小标宋简体" w:eastAsia="方正小标宋简体" w:cs="方正小标宋简体"/>
          <w:color w:val="auto"/>
          <w:kern w:val="2"/>
          <w:sz w:val="44"/>
          <w:szCs w:val="44"/>
          <w:highlight w:val="none"/>
          <w:u w:val="single"/>
        </w:rPr>
      </w:pPr>
    </w:p>
    <w:p w14:paraId="0C1DE984">
      <w:pPr>
        <w:rPr>
          <w:rFonts w:hint="eastAsia" w:ascii="方正小标宋简体" w:hAnsi="方正小标宋简体" w:eastAsia="方正小标宋简体" w:cs="方正小标宋简体"/>
          <w:color w:val="auto"/>
          <w:kern w:val="2"/>
          <w:sz w:val="44"/>
          <w:szCs w:val="44"/>
          <w:highlight w:val="none"/>
          <w:u w:val="single"/>
        </w:rPr>
      </w:pPr>
    </w:p>
    <w:p w14:paraId="61716E06">
      <w:pPr>
        <w:rPr>
          <w:rFonts w:hint="eastAsia" w:ascii="方正小标宋简体" w:hAnsi="方正小标宋简体" w:eastAsia="方正小标宋简体" w:cs="方正小标宋简体"/>
          <w:color w:val="auto"/>
          <w:kern w:val="2"/>
          <w:sz w:val="44"/>
          <w:szCs w:val="44"/>
          <w:highlight w:val="none"/>
          <w:u w:val="single"/>
        </w:rPr>
      </w:pPr>
    </w:p>
    <w:p w14:paraId="74203487">
      <w:pPr>
        <w:pStyle w:val="8"/>
        <w:rPr>
          <w:rFonts w:hint="eastAsia" w:ascii="方正小标宋简体" w:hAnsi="方正小标宋简体" w:eastAsia="方正小标宋简体" w:cs="方正小标宋简体"/>
          <w:color w:val="auto"/>
          <w:kern w:val="2"/>
          <w:sz w:val="44"/>
          <w:szCs w:val="44"/>
          <w:highlight w:val="none"/>
          <w:u w:val="single"/>
        </w:rPr>
      </w:pPr>
    </w:p>
    <w:p w14:paraId="01B234F1">
      <w:pPr>
        <w:pStyle w:val="9"/>
        <w:rPr>
          <w:rFonts w:hint="eastAsia" w:ascii="方正小标宋简体" w:hAnsi="方正小标宋简体" w:eastAsia="方正小标宋简体" w:cs="方正小标宋简体"/>
          <w:color w:val="auto"/>
          <w:kern w:val="2"/>
          <w:sz w:val="44"/>
          <w:szCs w:val="44"/>
          <w:highlight w:val="none"/>
          <w:u w:val="single"/>
        </w:rPr>
      </w:pPr>
    </w:p>
    <w:p w14:paraId="7646EDF7">
      <w:pPr>
        <w:pStyle w:val="10"/>
        <w:rPr>
          <w:rFonts w:hint="eastAsia" w:ascii="方正小标宋简体" w:hAnsi="方正小标宋简体" w:eastAsia="方正小标宋简体" w:cs="方正小标宋简体"/>
          <w:color w:val="auto"/>
          <w:kern w:val="2"/>
          <w:sz w:val="44"/>
          <w:szCs w:val="44"/>
          <w:highlight w:val="none"/>
          <w:u w:val="single"/>
        </w:rPr>
      </w:pPr>
    </w:p>
    <w:p w14:paraId="7486429C">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678919D1">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6FD6637F">
      <w:pPr>
        <w:jc w:val="center"/>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安徽交控集团2025年度服务区综合改造提升工程项目空气能设备采购及安装项目</w:t>
      </w:r>
    </w:p>
    <w:p w14:paraId="1E6F5305">
      <w:pPr>
        <w:jc w:val="center"/>
        <w:outlineLvl w:val="9"/>
        <w:rPr>
          <w:rFonts w:ascii="Times New Roman" w:hAnsi="Times New Roman" w:eastAsia="黑体" w:cs="Times New Roman"/>
          <w:color w:val="auto"/>
          <w:sz w:val="50"/>
          <w:szCs w:val="50"/>
          <w:highlight w:val="none"/>
        </w:rPr>
      </w:pPr>
    </w:p>
    <w:p w14:paraId="17C23FA6">
      <w:pPr>
        <w:jc w:val="center"/>
        <w:outlineLvl w:val="0"/>
        <w:rPr>
          <w:rFonts w:ascii="Times New Roman" w:hAnsi="Times New Roman" w:eastAsia="黑体" w:cs="Times New Roman"/>
          <w:color w:val="auto"/>
          <w:sz w:val="50"/>
          <w:szCs w:val="50"/>
          <w:highlight w:val="none"/>
        </w:rPr>
      </w:pPr>
      <w:bookmarkStart w:id="70" w:name="_Toc11846"/>
      <w:bookmarkStart w:id="71" w:name="_Toc11988"/>
      <w:bookmarkStart w:id="72" w:name="_Toc20091"/>
      <w:bookmarkStart w:id="73" w:name="_Toc10074"/>
      <w:bookmarkStart w:id="74" w:name="_Toc12470"/>
      <w:r>
        <w:rPr>
          <w:rFonts w:ascii="Times New Roman" w:hAnsi="Times New Roman" w:eastAsia="黑体" w:cs="Times New Roman"/>
          <w:color w:val="auto"/>
          <w:sz w:val="50"/>
          <w:szCs w:val="50"/>
          <w:highlight w:val="none"/>
        </w:rPr>
        <w:t>响  应  文  件</w:t>
      </w:r>
      <w:bookmarkEnd w:id="70"/>
      <w:bookmarkEnd w:id="71"/>
      <w:bookmarkEnd w:id="72"/>
      <w:bookmarkEnd w:id="73"/>
      <w:bookmarkEnd w:id="74"/>
    </w:p>
    <w:p w14:paraId="7EEE89EB">
      <w:pPr>
        <w:pStyle w:val="20"/>
        <w:jc w:val="left"/>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sz w:val="50"/>
          <w:szCs w:val="50"/>
          <w:highlight w:val="none"/>
          <w:lang w:val="en-US" w:eastAsia="zh-CN"/>
        </w:rPr>
        <w:t xml:space="preserve">     </w:t>
      </w:r>
      <w:r>
        <w:rPr>
          <w:rFonts w:hint="eastAsia" w:ascii="Times New Roman" w:hAnsi="Times New Roman" w:eastAsia="黑体" w:cs="Times New Roman"/>
          <w:color w:val="auto"/>
          <w:kern w:val="2"/>
          <w:sz w:val="28"/>
          <w:szCs w:val="28"/>
          <w:highlight w:val="none"/>
          <w:lang w:val="en-US" w:eastAsia="zh-CN" w:bidi="ar-SA"/>
        </w:rPr>
        <w:t>（商务及技术文件）</w:t>
      </w:r>
    </w:p>
    <w:p w14:paraId="0BB51C71">
      <w:pPr>
        <w:spacing w:line="440" w:lineRule="exact"/>
        <w:rPr>
          <w:rFonts w:ascii="Times New Roman" w:hAnsi="Times New Roman" w:eastAsia="黑体" w:cs="Times New Roman"/>
          <w:color w:val="auto"/>
          <w:sz w:val="32"/>
          <w:szCs w:val="32"/>
          <w:highlight w:val="none"/>
        </w:rPr>
      </w:pPr>
    </w:p>
    <w:p w14:paraId="3F5ED003">
      <w:pPr>
        <w:spacing w:line="440" w:lineRule="exact"/>
        <w:rPr>
          <w:rFonts w:ascii="Times New Roman" w:hAnsi="Times New Roman" w:eastAsia="黑体" w:cs="Times New Roman"/>
          <w:color w:val="auto"/>
          <w:sz w:val="32"/>
          <w:szCs w:val="32"/>
          <w:highlight w:val="none"/>
        </w:rPr>
      </w:pPr>
    </w:p>
    <w:p w14:paraId="07563E1D">
      <w:pPr>
        <w:spacing w:line="440" w:lineRule="exact"/>
        <w:rPr>
          <w:rFonts w:ascii="Times New Roman" w:hAnsi="Times New Roman" w:eastAsia="黑体" w:cs="Times New Roman"/>
          <w:color w:val="auto"/>
          <w:sz w:val="20"/>
          <w:szCs w:val="20"/>
          <w:highlight w:val="none"/>
        </w:rPr>
      </w:pPr>
    </w:p>
    <w:p w14:paraId="63107C88">
      <w:pPr>
        <w:spacing w:line="440" w:lineRule="exact"/>
        <w:rPr>
          <w:rFonts w:ascii="Times New Roman" w:hAnsi="Times New Roman" w:eastAsia="黑体" w:cs="Times New Roman"/>
          <w:color w:val="auto"/>
          <w:sz w:val="20"/>
          <w:szCs w:val="20"/>
          <w:highlight w:val="none"/>
        </w:rPr>
      </w:pPr>
    </w:p>
    <w:p w14:paraId="2C576B10">
      <w:pPr>
        <w:pStyle w:val="20"/>
        <w:rPr>
          <w:rFonts w:ascii="Times New Roman" w:hAnsi="Times New Roman" w:eastAsia="黑体" w:cs="Times New Roman"/>
          <w:color w:val="auto"/>
          <w:sz w:val="20"/>
          <w:szCs w:val="20"/>
          <w:highlight w:val="none"/>
        </w:rPr>
      </w:pPr>
    </w:p>
    <w:p w14:paraId="7183F2A9">
      <w:pPr>
        <w:rPr>
          <w:rFonts w:ascii="Times New Roman" w:hAnsi="Times New Roman" w:eastAsia="黑体" w:cs="Times New Roman"/>
          <w:color w:val="auto"/>
          <w:sz w:val="20"/>
          <w:szCs w:val="20"/>
          <w:highlight w:val="none"/>
        </w:rPr>
      </w:pPr>
    </w:p>
    <w:p w14:paraId="581DA5AD">
      <w:pPr>
        <w:pStyle w:val="20"/>
        <w:rPr>
          <w:rFonts w:ascii="Times New Roman" w:hAnsi="Times New Roman" w:eastAsia="黑体" w:cs="Times New Roman"/>
          <w:color w:val="auto"/>
          <w:sz w:val="20"/>
          <w:szCs w:val="20"/>
          <w:highlight w:val="none"/>
        </w:rPr>
      </w:pPr>
    </w:p>
    <w:p w14:paraId="06F7909F">
      <w:pPr>
        <w:rPr>
          <w:rFonts w:ascii="Times New Roman" w:hAnsi="Times New Roman" w:eastAsia="黑体" w:cs="Times New Roman"/>
          <w:color w:val="auto"/>
          <w:sz w:val="20"/>
          <w:szCs w:val="20"/>
          <w:highlight w:val="none"/>
        </w:rPr>
      </w:pPr>
    </w:p>
    <w:p w14:paraId="6D22971E">
      <w:pPr>
        <w:spacing w:line="440" w:lineRule="exact"/>
        <w:rPr>
          <w:rFonts w:ascii="Times New Roman" w:hAnsi="Times New Roman" w:eastAsia="黑体" w:cs="Times New Roman"/>
          <w:color w:val="auto"/>
          <w:sz w:val="20"/>
          <w:szCs w:val="20"/>
          <w:highlight w:val="none"/>
        </w:rPr>
      </w:pPr>
    </w:p>
    <w:p w14:paraId="5CF58BFE">
      <w:pPr>
        <w:spacing w:line="440" w:lineRule="exact"/>
        <w:rPr>
          <w:rFonts w:ascii="Times New Roman" w:hAnsi="Times New Roman" w:eastAsia="黑体" w:cs="Times New Roman"/>
          <w:color w:val="auto"/>
          <w:sz w:val="20"/>
          <w:szCs w:val="20"/>
          <w:highlight w:val="none"/>
        </w:rPr>
      </w:pPr>
    </w:p>
    <w:p w14:paraId="434E8257">
      <w:pPr>
        <w:spacing w:line="440" w:lineRule="exact"/>
        <w:rPr>
          <w:rFonts w:ascii="Times New Roman" w:hAnsi="Times New Roman" w:eastAsia="黑体" w:cs="Times New Roman"/>
          <w:color w:val="auto"/>
          <w:sz w:val="20"/>
          <w:szCs w:val="20"/>
          <w:highlight w:val="none"/>
        </w:rPr>
      </w:pPr>
    </w:p>
    <w:p w14:paraId="0E459BCF">
      <w:pPr>
        <w:spacing w:line="440" w:lineRule="exact"/>
        <w:rPr>
          <w:rFonts w:ascii="Times New Roman" w:hAnsi="Times New Roman" w:eastAsia="黑体" w:cs="Times New Roman"/>
          <w:color w:val="auto"/>
          <w:sz w:val="20"/>
          <w:szCs w:val="20"/>
          <w:highlight w:val="none"/>
        </w:rPr>
      </w:pPr>
    </w:p>
    <w:p w14:paraId="4D8CEC4F">
      <w:pPr>
        <w:spacing w:line="440" w:lineRule="exact"/>
        <w:jc w:val="center"/>
        <w:rPr>
          <w:rFonts w:ascii="Times New Roman" w:hAnsi="Times New Roman" w:eastAsia="黑体" w:cs="Times New Roman"/>
          <w:color w:val="auto"/>
          <w:sz w:val="28"/>
          <w:szCs w:val="28"/>
          <w:highlight w:val="none"/>
        </w:rPr>
      </w:pPr>
      <w:bookmarkStart w:id="75" w:name="_Toc25232_WPSOffice_Level2"/>
      <w:bookmarkStart w:id="76" w:name="_Toc5520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w:t>
      </w:r>
      <w:r>
        <w:rPr>
          <w:rFonts w:hint="eastAsia" w:ascii="Times New Roman" w:hAnsi="Times New Roman" w:eastAsia="黑体" w:cs="Times New Roman"/>
          <w:color w:val="auto"/>
          <w:sz w:val="28"/>
          <w:szCs w:val="28"/>
          <w:highlight w:val="none"/>
          <w:u w:val="single"/>
          <w:lang w:val="en-US" w:eastAsia="zh-CN"/>
        </w:rPr>
        <w:t>公</w:t>
      </w:r>
      <w:r>
        <w:rPr>
          <w:rFonts w:ascii="Times New Roman" w:hAnsi="Times New Roman" w:eastAsia="黑体" w:cs="Times New Roman"/>
          <w:color w:val="auto"/>
          <w:sz w:val="28"/>
          <w:szCs w:val="28"/>
          <w:highlight w:val="none"/>
          <w:u w:val="single"/>
        </w:rPr>
        <w:t>章)</w:t>
      </w:r>
      <w:bookmarkEnd w:id="75"/>
      <w:bookmarkEnd w:id="76"/>
      <w:r>
        <w:rPr>
          <w:rFonts w:ascii="Times New Roman" w:hAnsi="Times New Roman" w:eastAsia="黑体" w:cs="Times New Roman"/>
          <w:color w:val="auto"/>
          <w:sz w:val="28"/>
          <w:szCs w:val="28"/>
          <w:highlight w:val="none"/>
          <w:u w:val="single"/>
        </w:rPr>
        <w:t xml:space="preserve"> </w:t>
      </w:r>
    </w:p>
    <w:p w14:paraId="6B5FC1ED">
      <w:pPr>
        <w:spacing w:line="440" w:lineRule="exact"/>
        <w:ind w:firstLine="2158" w:firstLineChars="771"/>
        <w:rPr>
          <w:rFonts w:ascii="Times New Roman" w:hAnsi="Times New Roman" w:eastAsia="黑体" w:cs="Times New Roman"/>
          <w:color w:val="auto"/>
          <w:sz w:val="28"/>
          <w:szCs w:val="28"/>
          <w:highlight w:val="none"/>
        </w:rPr>
      </w:pPr>
    </w:p>
    <w:p w14:paraId="0FF8B430">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77" w:name="_Toc31577_WPSOffice_Level2"/>
      <w:bookmarkStart w:id="78" w:name="_Toc20076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77"/>
      <w:bookmarkEnd w:id="78"/>
    </w:p>
    <w:p w14:paraId="038866BC">
      <w:pPr>
        <w:keepNext w:val="0"/>
        <w:keepLines w:val="0"/>
        <w:widowControl w:val="0"/>
        <w:suppressLineNumbers w:val="0"/>
        <w:spacing w:before="0" w:beforeAutospacing="0" w:after="0" w:afterAutospacing="0" w:line="440" w:lineRule="exact"/>
        <w:ind w:left="0" w:right="0"/>
        <w:jc w:val="center"/>
        <w:rPr>
          <w:rFonts w:hint="default" w:ascii="黑体" w:hAnsi="宋体" w:eastAsia="黑体" w:cs="黑体"/>
          <w:color w:val="auto"/>
          <w:kern w:val="2"/>
          <w:sz w:val="28"/>
          <w:szCs w:val="28"/>
          <w:highlight w:val="none"/>
          <w:lang w:val="en-US" w:eastAsia="zh-CN" w:bidi="ar"/>
        </w:rPr>
      </w:pPr>
      <w:r>
        <w:rPr>
          <w:rFonts w:ascii="Times New Roman" w:hAnsi="Times New Roman" w:eastAsia="黑体" w:cs="Times New Roman"/>
          <w:color w:val="auto"/>
          <w:sz w:val="20"/>
          <w:szCs w:val="20"/>
          <w:highlight w:val="none"/>
        </w:rPr>
        <w:br w:type="page"/>
      </w:r>
    </w:p>
    <w:p w14:paraId="5C2FEE3B">
      <w:pPr>
        <w:pStyle w:val="3"/>
        <w:numPr>
          <w:ilvl w:val="0"/>
          <w:numId w:val="0"/>
        </w:numPr>
        <w:rPr>
          <w:rFonts w:hint="eastAsia" w:ascii="黑体" w:hAnsi="黑体" w:eastAsia="黑体" w:cs="黑体"/>
          <w:b/>
          <w:bCs/>
          <w:color w:val="auto"/>
          <w:sz w:val="28"/>
          <w:szCs w:val="28"/>
          <w:highlight w:val="none"/>
        </w:rPr>
      </w:pPr>
      <w:bookmarkStart w:id="79" w:name="_Toc25724"/>
      <w:bookmarkStart w:id="80" w:name="_Toc21704"/>
      <w:bookmarkStart w:id="81" w:name="_Toc20272"/>
      <w:bookmarkStart w:id="82" w:name="_Toc888"/>
      <w:bookmarkStart w:id="83" w:name="_Toc1219"/>
      <w:r>
        <w:rPr>
          <w:rFonts w:hint="eastAsia" w:ascii="黑体" w:hAnsi="黑体" w:eastAsia="黑体" w:cs="黑体"/>
          <w:b/>
          <w:bCs/>
          <w:color w:val="auto"/>
          <w:sz w:val="28"/>
          <w:szCs w:val="28"/>
          <w:highlight w:val="none"/>
        </w:rPr>
        <w:t>一、响应函（不含报价）</w:t>
      </w:r>
      <w:bookmarkEnd w:id="69"/>
      <w:bookmarkEnd w:id="79"/>
      <w:bookmarkEnd w:id="80"/>
      <w:bookmarkEnd w:id="81"/>
      <w:bookmarkEnd w:id="82"/>
      <w:bookmarkEnd w:id="83"/>
    </w:p>
    <w:p w14:paraId="49B3464C">
      <w:pPr>
        <w:pStyle w:val="8"/>
        <w:tabs>
          <w:tab w:val="left" w:pos="972"/>
        </w:tabs>
        <w:spacing w:before="77" w:beforeLines="0" w:afterLines="0"/>
        <w:ind w:left="235"/>
        <w:rPr>
          <w:rFonts w:hint="eastAsia" w:ascii="宋体" w:hAnsi="宋体" w:cs="宋体"/>
          <w:color w:val="auto"/>
          <w:sz w:val="24"/>
          <w:szCs w:val="24"/>
          <w:highlight w:val="none"/>
        </w:rPr>
      </w:pPr>
      <w:r>
        <w:rPr>
          <w:rFonts w:hint="eastAsia" w:ascii="宋体" w:hAnsi="宋体" w:cs="宋体"/>
          <w:color w:val="auto"/>
          <w:kern w:val="2"/>
          <w:sz w:val="24"/>
          <w:szCs w:val="24"/>
          <w:highlight w:val="none"/>
          <w:u w:val="single"/>
          <w:lang w:val="en-US" w:eastAsia="zh-CN" w:bidi="ar-SA"/>
        </w:rPr>
        <w:t>安徽省经工物资有限公司</w:t>
      </w:r>
      <w:r>
        <w:rPr>
          <w:rFonts w:hint="eastAsia" w:ascii="宋体" w:hAnsi="宋体" w:cs="宋体"/>
          <w:color w:val="auto"/>
          <w:sz w:val="24"/>
          <w:szCs w:val="24"/>
          <w:highlight w:val="none"/>
        </w:rPr>
        <w:t>（采购人名称）：</w:t>
      </w:r>
    </w:p>
    <w:p w14:paraId="7D3E80B2">
      <w:pPr>
        <w:topLinePunct/>
        <w:spacing w:beforeLines="0" w:afterLines="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rPr>
        <w:t>安徽交控集团2025年度服务区综合改造提升工程项目空气能设备采购及安装项目</w:t>
      </w:r>
      <w:r>
        <w:rPr>
          <w:rFonts w:hint="eastAsia" w:ascii="宋体" w:hAnsi="宋体" w:cs="宋体"/>
          <w:color w:val="auto"/>
          <w:sz w:val="24"/>
          <w:szCs w:val="24"/>
          <w:highlight w:val="none"/>
        </w:rPr>
        <w:t>响应文件的全部内容，愿意以</w:t>
      </w:r>
      <w:r>
        <w:rPr>
          <w:rFonts w:hint="eastAsia" w:ascii="宋体" w:hAnsi="宋体" w:cs="宋体"/>
          <w:color w:val="auto"/>
          <w:sz w:val="24"/>
          <w:szCs w:val="24"/>
          <w:highlight w:val="none"/>
          <w:u w:val="single"/>
        </w:rPr>
        <w:t>第二信封报价文件响应函中的响应总报价</w:t>
      </w:r>
      <w:r>
        <w:rPr>
          <w:rFonts w:hint="eastAsia" w:ascii="宋体" w:hAnsi="宋体" w:cs="宋体"/>
          <w:color w:val="auto"/>
          <w:sz w:val="24"/>
          <w:szCs w:val="24"/>
          <w:highlight w:val="none"/>
        </w:rPr>
        <w:t>提供响应文件要求的货物、技术服务和质保售后服务等，并按合同约定履行义务。</w:t>
      </w:r>
    </w:p>
    <w:p w14:paraId="7E861916">
      <w:pPr>
        <w:pStyle w:val="38"/>
        <w:numPr>
          <w:ilvl w:val="0"/>
          <w:numId w:val="0"/>
        </w:numPr>
        <w:tabs>
          <w:tab w:val="left" w:pos="973"/>
        </w:tabs>
        <w:spacing w:beforeLines="0" w:afterLines="0" w:line="480" w:lineRule="exact"/>
        <w:ind w:left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我方承诺在</w:t>
      </w:r>
      <w:r>
        <w:rPr>
          <w:rFonts w:hint="eastAsia"/>
          <w:color w:val="auto"/>
          <w:sz w:val="24"/>
          <w:szCs w:val="24"/>
          <w:highlight w:val="none"/>
          <w:lang w:val="en-US"/>
        </w:rPr>
        <w:t>采购文件</w:t>
      </w:r>
      <w:r>
        <w:rPr>
          <w:rFonts w:hint="eastAsia"/>
          <w:color w:val="auto"/>
          <w:sz w:val="24"/>
          <w:szCs w:val="24"/>
          <w:highlight w:val="none"/>
        </w:rPr>
        <w:t>规定的响应有效期内不撤销响应文件。</w:t>
      </w:r>
    </w:p>
    <w:p w14:paraId="5DED744C">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2.我方将与本响应函一起提交响应保证金，且承诺响应保证金转出账户真实有效。</w:t>
      </w:r>
    </w:p>
    <w:p w14:paraId="5E69595E">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3.材料质量：响应采购文件要求；交货期：响应采购文件要求。</w:t>
      </w:r>
    </w:p>
    <w:p w14:paraId="42E57F11">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4.如我方成交，我方承诺：</w:t>
      </w:r>
    </w:p>
    <w:p w14:paraId="1B113C16">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）在收到</w:t>
      </w:r>
      <w:r>
        <w:rPr>
          <w:rFonts w:hint="eastAsia"/>
          <w:color w:val="auto"/>
          <w:sz w:val="24"/>
          <w:szCs w:val="24"/>
          <w:highlight w:val="none"/>
          <w:lang w:val="en-US"/>
        </w:rPr>
        <w:t>成交</w:t>
      </w:r>
      <w:r>
        <w:rPr>
          <w:rFonts w:hint="eastAsia"/>
          <w:color w:val="auto"/>
          <w:sz w:val="24"/>
          <w:szCs w:val="24"/>
          <w:highlight w:val="none"/>
        </w:rPr>
        <w:t>通知书后，在</w:t>
      </w:r>
      <w:r>
        <w:rPr>
          <w:rFonts w:hint="eastAsia"/>
          <w:color w:val="auto"/>
          <w:sz w:val="24"/>
          <w:szCs w:val="24"/>
          <w:highlight w:val="none"/>
          <w:lang w:val="en-US"/>
        </w:rPr>
        <w:t>成交</w:t>
      </w:r>
      <w:r>
        <w:rPr>
          <w:rFonts w:hint="eastAsia"/>
          <w:color w:val="auto"/>
          <w:sz w:val="24"/>
          <w:szCs w:val="24"/>
          <w:highlight w:val="none"/>
        </w:rPr>
        <w:t>通知书规定的期限内与你方签订合同；</w:t>
      </w:r>
    </w:p>
    <w:p w14:paraId="5D6A18F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）在签订合同时不向你方提出附加条件；</w:t>
      </w:r>
    </w:p>
    <w:p w14:paraId="3E593700">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）按照</w:t>
      </w:r>
      <w:r>
        <w:rPr>
          <w:rFonts w:hint="eastAsia"/>
          <w:color w:val="auto"/>
          <w:sz w:val="24"/>
          <w:szCs w:val="24"/>
          <w:highlight w:val="none"/>
          <w:lang w:val="en-US"/>
        </w:rPr>
        <w:t>采购</w:t>
      </w:r>
      <w:r>
        <w:rPr>
          <w:rFonts w:hint="eastAsia"/>
          <w:color w:val="auto"/>
          <w:sz w:val="24"/>
          <w:szCs w:val="24"/>
          <w:highlight w:val="none"/>
        </w:rPr>
        <w:t>文件要求提交履约保证金；</w:t>
      </w:r>
    </w:p>
    <w:p w14:paraId="6FDC8268">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）在合同约定的期限内完成合同规定的全部义务；</w:t>
      </w:r>
    </w:p>
    <w:p w14:paraId="0F3A91E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）在双方进行合同谈判之前，我方将按照响应文件中填报人员及</w:t>
      </w:r>
      <w:r>
        <w:rPr>
          <w:rFonts w:hint="eastAsia"/>
          <w:color w:val="auto"/>
          <w:sz w:val="24"/>
          <w:szCs w:val="24"/>
          <w:highlight w:val="none"/>
          <w:lang w:val="en-US"/>
        </w:rPr>
        <w:t>采购</w:t>
      </w:r>
      <w:r>
        <w:rPr>
          <w:rFonts w:hint="eastAsia"/>
          <w:color w:val="auto"/>
          <w:sz w:val="24"/>
          <w:szCs w:val="24"/>
          <w:highlight w:val="none"/>
        </w:rPr>
        <w:t>文件提出的最低要求填报派驻本包段的其他管理和技术人员及主要机械设备，经你方审批后作为派驻本包段的项目管理机构主要人员和主要设备且不进行更换。我方承诺除非</w:t>
      </w:r>
      <w:r>
        <w:rPr>
          <w:rFonts w:hint="eastAsia"/>
          <w:color w:val="auto"/>
          <w:sz w:val="24"/>
          <w:szCs w:val="24"/>
          <w:highlight w:val="none"/>
          <w:lang w:val="en-US"/>
        </w:rPr>
        <w:t>采购</w:t>
      </w:r>
      <w:r>
        <w:rPr>
          <w:rFonts w:hint="eastAsia"/>
          <w:color w:val="auto"/>
          <w:sz w:val="24"/>
          <w:szCs w:val="24"/>
          <w:highlight w:val="none"/>
        </w:rPr>
        <w:t>文件另有约定，我方派驻本包段的项目</w:t>
      </w:r>
      <w:r>
        <w:rPr>
          <w:rFonts w:hint="eastAsia"/>
          <w:color w:val="auto"/>
          <w:sz w:val="24"/>
          <w:szCs w:val="24"/>
          <w:highlight w:val="none"/>
          <w:lang w:val="en-US"/>
        </w:rPr>
        <w:t>负责人</w:t>
      </w:r>
      <w:r>
        <w:rPr>
          <w:rFonts w:hint="eastAsia"/>
          <w:color w:val="auto"/>
          <w:sz w:val="24"/>
          <w:szCs w:val="24"/>
          <w:highlight w:val="none"/>
        </w:rPr>
        <w:t>及项目管理机构主要人员均为我单位在职人员（不含外聘人员、返聘人员、临时聘用人员）。如我方拟派驻的人员和设备不满足合同附件要求，你方有权取消我方成交资格；</w:t>
      </w:r>
    </w:p>
    <w:p w14:paraId="67CCE1D2">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rPr>
        <w:t>我方在此声明，所递交的</w:t>
      </w:r>
      <w:r>
        <w:rPr>
          <w:rFonts w:hint="eastAsia"/>
          <w:color w:val="auto"/>
          <w:sz w:val="24"/>
          <w:szCs w:val="24"/>
          <w:highlight w:val="none"/>
          <w:lang w:val="en-US" w:eastAsia="zh-CN"/>
        </w:rPr>
        <w:t>响应</w:t>
      </w:r>
      <w:r>
        <w:rPr>
          <w:rFonts w:hint="eastAsia"/>
          <w:color w:val="auto"/>
          <w:sz w:val="24"/>
          <w:szCs w:val="24"/>
          <w:highlight w:val="none"/>
        </w:rPr>
        <w:t>文件及有关资料内容完整、真实和准确，符合资格审查条件（信誉最低要求），且不存在第三章“评审办法”中评审办法前附表规定的任何一种情形。</w:t>
      </w:r>
    </w:p>
    <w:p w14:paraId="67C52A9E">
      <w:pPr>
        <w:tabs>
          <w:tab w:val="left" w:pos="920"/>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.除非另外达成协议并生效，你方的成交通知书和本响应文件以及采购文件、采购文件澄清、修改、补充文件将成为约束双方的合同文件的组成部分。</w:t>
      </w:r>
    </w:p>
    <w:p w14:paraId="262B73D5">
      <w:pPr>
        <w:tabs>
          <w:tab w:val="left" w:pos="920"/>
          <w:tab w:val="left" w:pos="3648"/>
        </w:tabs>
        <w:spacing w:beforeLines="0" w:afterLines="0" w:line="480" w:lineRule="exact"/>
        <w:ind w:firstLine="474" w:firstLineChars="200"/>
        <w:rPr>
          <w:rFonts w:hint="eastAsia" w:ascii="宋体" w:hAnsi="宋体" w:cs="宋体"/>
          <w:color w:val="auto"/>
          <w:sz w:val="24"/>
          <w:szCs w:val="24"/>
          <w:highlight w:val="none"/>
        </w:rPr>
      </w:pPr>
      <w:r>
        <w:rPr>
          <w:rFonts w:hint="eastAsia" w:ascii="宋体" w:hAnsi="宋体" w:cs="宋体"/>
          <w:color w:val="auto"/>
          <w:w w:val="99"/>
          <w:sz w:val="24"/>
          <w:szCs w:val="24"/>
          <w:highlight w:val="none"/>
          <w:lang w:val="en-US" w:eastAsia="zh-CN"/>
        </w:rPr>
        <w:t>7</w:t>
      </w:r>
      <w:r>
        <w:rPr>
          <w:rFonts w:hint="eastAsia" w:ascii="宋体" w:hAnsi="宋体" w:cs="宋体"/>
          <w:color w:val="auto"/>
          <w:w w:val="99"/>
          <w:sz w:val="24"/>
          <w:szCs w:val="24"/>
          <w:highlight w:val="none"/>
        </w:rPr>
        <w:t xml:space="preserve">. </w:t>
      </w:r>
      <w:r>
        <w:rPr>
          <w:rFonts w:hint="eastAsia" w:ascii="宋体" w:hAnsi="宋体" w:cs="宋体"/>
          <w:color w:val="auto"/>
          <w:w w:val="99"/>
          <w:sz w:val="24"/>
          <w:szCs w:val="24"/>
          <w:highlight w:val="none"/>
          <w:u w:val="single"/>
        </w:rPr>
        <w:t xml:space="preserve">      </w:t>
      </w:r>
      <w:r>
        <w:rPr>
          <w:rFonts w:hint="eastAsia" w:ascii="宋体" w:hAnsi="宋体" w:cs="宋体"/>
          <w:color w:val="auto"/>
          <w:sz w:val="24"/>
          <w:szCs w:val="24"/>
          <w:highlight w:val="none"/>
        </w:rPr>
        <w:t>（其他补充说明）。</w:t>
      </w:r>
    </w:p>
    <w:p w14:paraId="014D3567">
      <w:pPr>
        <w:pStyle w:val="8"/>
        <w:tabs>
          <w:tab w:val="left" w:pos="6379"/>
        </w:tabs>
        <w:spacing w:beforeLines="0" w:afterLines="0" w:line="480" w:lineRule="exact"/>
        <w:ind w:firstLine="480" w:firstLineChars="200"/>
        <w:rPr>
          <w:rFonts w:hint="eastAsia" w:ascii="宋体" w:hAnsi="宋体" w:cs="宋体"/>
          <w:color w:val="auto"/>
          <w:sz w:val="24"/>
          <w:szCs w:val="24"/>
          <w:highlight w:val="none"/>
        </w:rPr>
      </w:pPr>
    </w:p>
    <w:p w14:paraId="4771CF22">
      <w:pPr>
        <w:pStyle w:val="9"/>
        <w:spacing w:beforeLines="0" w:afterLines="0"/>
        <w:rPr>
          <w:rFonts w:hint="eastAsia"/>
          <w:color w:val="auto"/>
          <w:sz w:val="18"/>
          <w:szCs w:val="24"/>
          <w:highlight w:val="none"/>
        </w:rPr>
      </w:pPr>
    </w:p>
    <w:p w14:paraId="4368A36F">
      <w:pPr>
        <w:pStyle w:val="10"/>
        <w:spacing w:beforeLines="0" w:afterLines="0"/>
        <w:rPr>
          <w:rFonts w:hint="eastAsia" w:eastAsia="宋体"/>
          <w:color w:val="auto"/>
          <w:sz w:val="21"/>
          <w:szCs w:val="21"/>
          <w:highlight w:val="none"/>
        </w:rPr>
      </w:pPr>
    </w:p>
    <w:p w14:paraId="24B7FA17">
      <w:pPr>
        <w:rPr>
          <w:rFonts w:hint="eastAsia"/>
          <w:color w:val="auto"/>
          <w:highlight w:val="none"/>
        </w:rPr>
      </w:pPr>
    </w:p>
    <w:p w14:paraId="76B08196">
      <w:pPr>
        <w:pStyle w:val="8"/>
        <w:tabs>
          <w:tab w:val="left" w:pos="6379"/>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  应  商 ：</w:t>
      </w:r>
      <w:bookmarkStart w:id="84" w:name="_Hlk122530524"/>
      <w:r>
        <w:rPr>
          <w:rFonts w:hint="eastAsia" w:ascii="宋体" w:hAnsi="宋体" w:cs="宋体"/>
          <w:color w:val="auto"/>
          <w:sz w:val="24"/>
          <w:szCs w:val="24"/>
          <w:highlight w:val="none"/>
          <w:u w:val="single"/>
        </w:rPr>
        <w:t xml:space="preserve">                         </w:t>
      </w:r>
      <w:bookmarkEnd w:id="84"/>
      <w:r>
        <w:rPr>
          <w:rFonts w:hint="eastAsia" w:ascii="宋体" w:hAnsi="宋体" w:cs="宋体"/>
          <w:color w:val="auto"/>
          <w:sz w:val="24"/>
          <w:szCs w:val="24"/>
          <w:highlight w:val="none"/>
        </w:rPr>
        <w:t>（盖单位</w:t>
      </w:r>
      <w:r>
        <w:rPr>
          <w:rFonts w:hint="eastAsia" w:ascii="宋体" w:hAnsi="宋体" w:cs="宋体"/>
          <w:color w:val="auto"/>
          <w:sz w:val="24"/>
          <w:szCs w:val="24"/>
          <w:highlight w:val="none"/>
          <w:lang w:val="en-US" w:eastAsia="zh-CN"/>
        </w:rPr>
        <w:t>公</w:t>
      </w:r>
      <w:r>
        <w:rPr>
          <w:rFonts w:hint="eastAsia" w:ascii="宋体" w:hAnsi="宋体" w:cs="宋体"/>
          <w:color w:val="auto"/>
          <w:sz w:val="24"/>
          <w:szCs w:val="24"/>
          <w:highlight w:val="none"/>
        </w:rPr>
        <w:t>章）</w:t>
      </w:r>
    </w:p>
    <w:p w14:paraId="7CB2BE99">
      <w:pPr>
        <w:pStyle w:val="8"/>
        <w:tabs>
          <w:tab w:val="left" w:pos="6379"/>
        </w:tabs>
        <w:spacing w:beforeLines="0" w:afterLines="0"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（签字或盖法人章）</w:t>
      </w:r>
    </w:p>
    <w:p w14:paraId="49877707">
      <w:pPr>
        <w:pStyle w:val="8"/>
        <w:tabs>
          <w:tab w:val="left" w:leader="underscore" w:pos="5076"/>
        </w:tabs>
        <w:spacing w:before="3" w:beforeLines="0" w:afterLines="0" w:line="520" w:lineRule="exact"/>
        <w:ind w:right="208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2B989A8">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E41CAC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4CC4C7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50F719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9D072A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75188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962F9D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39C0AB1">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32EFE2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8FF9B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20E2D0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3D078A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9135F39">
      <w:pPr>
        <w:pStyle w:val="9"/>
        <w:widowControl/>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rPr>
        <w:t xml:space="preserve"> </w:t>
      </w:r>
    </w:p>
    <w:p w14:paraId="6C554DC4">
      <w:pPr>
        <w:pStyle w:val="17"/>
        <w:keepNext w:val="0"/>
        <w:keepLines w:val="0"/>
        <w:widowControl w:val="0"/>
        <w:suppressLineNumbers w:val="0"/>
        <w:spacing w:before="0" w:beforeAutospacing="1" w:after="0" w:afterAutospacing="1"/>
        <w:ind w:left="864" w:right="864"/>
        <w:jc w:val="center"/>
        <w:rPr>
          <w:rFonts w:hint="default" w:ascii="Times New Roman" w:hAnsi="Times New Roman" w:eastAsia="黑体" w:cs="Times New Roman"/>
          <w:i/>
          <w:iCs/>
          <w:color w:val="auto"/>
          <w:kern w:val="2"/>
          <w:sz w:val="28"/>
          <w:szCs w:val="28"/>
          <w:highlight w:val="none"/>
        </w:rPr>
      </w:pPr>
      <w:r>
        <w:rPr>
          <w:rFonts w:hint="default" w:ascii="Times New Roman" w:hAnsi="Times New Roman" w:eastAsia="黑体" w:cs="Times New Roman"/>
          <w:i/>
          <w:iCs/>
          <w:color w:val="auto"/>
          <w:kern w:val="2"/>
          <w:sz w:val="28"/>
          <w:szCs w:val="28"/>
          <w:highlight w:val="none"/>
          <w:lang w:val="en-US" w:eastAsia="zh-CN" w:bidi="ar"/>
        </w:rPr>
        <w:t xml:space="preserve"> </w:t>
      </w:r>
    </w:p>
    <w:p w14:paraId="6E8CC0D4">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E3B24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0C53FF84">
      <w:pPr>
        <w:pStyle w:val="3"/>
        <w:numPr>
          <w:ilvl w:val="0"/>
          <w:numId w:val="0"/>
        </w:numPr>
        <w:rPr>
          <w:rFonts w:hint="default" w:ascii="黑体" w:hAnsi="黑体" w:eastAsia="黑体" w:cs="黑体"/>
          <w:b w:val="0"/>
          <w:bCs w:val="0"/>
          <w:color w:val="auto"/>
          <w:sz w:val="28"/>
          <w:szCs w:val="28"/>
          <w:highlight w:val="none"/>
        </w:rPr>
      </w:pPr>
      <w:bookmarkStart w:id="85" w:name="_Toc20451"/>
      <w:bookmarkStart w:id="86" w:name="_Toc10497"/>
      <w:bookmarkStart w:id="87" w:name="_Toc23378"/>
      <w:bookmarkStart w:id="88" w:name="_Toc16965"/>
      <w:bookmarkStart w:id="89" w:name="_Toc21398"/>
      <w:r>
        <w:rPr>
          <w:rFonts w:hint="eastAsia" w:ascii="黑体" w:hAnsi="宋体" w:eastAsia="黑体" w:cs="黑体"/>
          <w:b w:val="0"/>
          <w:bCs w:val="0"/>
          <w:color w:val="auto"/>
          <w:kern w:val="2"/>
          <w:sz w:val="28"/>
          <w:szCs w:val="28"/>
          <w:highlight w:val="none"/>
          <w:lang w:val="en-US" w:eastAsia="zh-CN" w:bidi="ar"/>
        </w:rPr>
        <w:t>二、法定代表人身份证明及授权委托书</w:t>
      </w:r>
      <w:bookmarkEnd w:id="85"/>
      <w:bookmarkEnd w:id="86"/>
      <w:bookmarkEnd w:id="87"/>
      <w:bookmarkEnd w:id="88"/>
      <w:bookmarkEnd w:id="89"/>
    </w:p>
    <w:p w14:paraId="473B0406">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951ECB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656379D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12F7A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E10DBC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153063B">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2C412A0E">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bCs/>
          <w:color w:val="auto"/>
          <w:kern w:val="2"/>
          <w:sz w:val="21"/>
          <w:szCs w:val="21"/>
          <w:highlight w:val="none"/>
        </w:rPr>
      </w:pPr>
      <w:r>
        <w:rPr>
          <w:rFonts w:hint="default" w:ascii="Times New Roman" w:hAnsi="Times New Roman" w:eastAsia="黑体" w:cs="Times New Roman"/>
          <w:bCs/>
          <w:color w:val="auto"/>
          <w:kern w:val="2"/>
          <w:sz w:val="21"/>
          <w:szCs w:val="21"/>
          <w:highlight w:val="none"/>
          <w:lang w:val="en-US" w:eastAsia="zh-CN" w:bidi="ar"/>
        </w:rPr>
        <w:t xml:space="preserve"> </w:t>
      </w:r>
    </w:p>
    <w:p w14:paraId="66F97646">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4"/>
          <w:szCs w:val="24"/>
          <w:highlight w:val="none"/>
          <w:lang w:val="en-US" w:eastAsia="zh-CN" w:bidi="ar"/>
        </w:rPr>
        <w:br w:type="page"/>
      </w:r>
      <w:r>
        <w:rPr>
          <w:rFonts w:hint="default" w:ascii="Times New Roman" w:hAnsi="Times New Roman" w:eastAsia="黑体" w:cs="Times New Roman"/>
          <w:bCs/>
          <w:color w:val="auto"/>
          <w:kern w:val="2"/>
          <w:sz w:val="28"/>
          <w:szCs w:val="28"/>
          <w:highlight w:val="none"/>
          <w:lang w:val="en-US" w:eastAsia="zh-CN" w:bidi="ar"/>
        </w:rPr>
        <w:t xml:space="preserve">2-2 </w:t>
      </w:r>
      <w:r>
        <w:rPr>
          <w:rFonts w:hint="eastAsia" w:ascii="黑体" w:hAnsi="宋体" w:eastAsia="黑体" w:cs="黑体"/>
          <w:color w:val="auto"/>
          <w:kern w:val="2"/>
          <w:sz w:val="28"/>
          <w:szCs w:val="28"/>
          <w:highlight w:val="none"/>
          <w:lang w:val="en-US" w:eastAsia="zh-CN" w:bidi="ar"/>
        </w:rPr>
        <w:t>授权委托书</w:t>
      </w:r>
    </w:p>
    <w:p w14:paraId="3493ACC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default" w:ascii="Times New Roman" w:hAnsi="Times New Roman" w:eastAsia="宋体" w:cs="Times New Roman"/>
          <w:color w:val="auto"/>
          <w:kern w:val="2"/>
          <w:sz w:val="24"/>
          <w:szCs w:val="24"/>
          <w:highlight w:val="none"/>
          <w:u w:val="single"/>
          <w:lang w:val="en-US" w:eastAsia="zh-CN" w:bidi="ar"/>
        </w:rPr>
        <w:t>安徽交控集团2025年度服务区综合改造提升工程项目空气能设备采购及安装项目</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03567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7F2A01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pgSz w:w="11906" w:h="16838"/>
          <w:pgMar w:top="1440" w:right="1797" w:bottom="1440" w:left="1797" w:header="851" w:footer="992" w:gutter="0"/>
          <w:pgNumType w:fmt="decimal"/>
          <w:cols w:space="425" w:num="1"/>
          <w:docGrid w:type="lines" w:linePitch="312" w:charSpace="0"/>
        </w:sectPr>
      </w:pPr>
    </w:p>
    <w:p w14:paraId="0B3B22F5">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90" w:name="_Toc24785"/>
      <w:bookmarkStart w:id="91" w:name="_Toc19890"/>
      <w:bookmarkStart w:id="92" w:name="_Toc28296"/>
      <w:bookmarkStart w:id="93" w:name="_Toc30116"/>
      <w:bookmarkStart w:id="94" w:name="_Toc16245"/>
      <w:bookmarkStart w:id="95" w:name="_Toc6681"/>
      <w:r>
        <w:rPr>
          <w:rFonts w:hint="eastAsia" w:ascii="黑体" w:hAnsi="宋体" w:eastAsia="黑体" w:cs="黑体"/>
          <w:color w:val="auto"/>
          <w:kern w:val="2"/>
          <w:sz w:val="28"/>
          <w:szCs w:val="28"/>
          <w:highlight w:val="none"/>
          <w:lang w:val="en-US" w:eastAsia="zh-CN" w:bidi="ar"/>
        </w:rPr>
        <w:t>三、供应商基本情况</w:t>
      </w:r>
      <w:bookmarkEnd w:id="90"/>
      <w:bookmarkEnd w:id="91"/>
      <w:bookmarkEnd w:id="92"/>
      <w:bookmarkEnd w:id="93"/>
      <w:bookmarkEnd w:id="94"/>
      <w:bookmarkEnd w:id="95"/>
    </w:p>
    <w:p w14:paraId="022512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3"/>
          <w:szCs w:val="23"/>
          <w:highlight w:val="none"/>
        </w:rPr>
      </w:pPr>
      <w:r>
        <w:rPr>
          <w:rFonts w:hint="default" w:ascii="Times New Roman" w:hAnsi="Times New Roman" w:eastAsia="宋体" w:cs="Times New Roman"/>
          <w:color w:val="auto"/>
          <w:kern w:val="2"/>
          <w:sz w:val="23"/>
          <w:szCs w:val="23"/>
          <w:highlight w:val="none"/>
          <w:lang w:val="en-US" w:eastAsia="zh-CN" w:bidi="ar"/>
        </w:rPr>
        <w:t xml:space="preserve"> </w:t>
      </w:r>
    </w:p>
    <w:tbl>
      <w:tblPr>
        <w:tblStyle w:val="21"/>
        <w:tblW w:w="9525" w:type="dxa"/>
        <w:tblInd w:w="12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32"/>
        <w:gridCol w:w="1220"/>
        <w:gridCol w:w="1601"/>
        <w:gridCol w:w="2069"/>
        <w:gridCol w:w="2403"/>
      </w:tblGrid>
      <w:tr w14:paraId="0C55D2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33AC924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供应商名称</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03E636C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3CBDC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2E6537F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注册地址</w:t>
            </w:r>
          </w:p>
        </w:tc>
        <w:tc>
          <w:tcPr>
            <w:tcW w:w="2821" w:type="dxa"/>
            <w:gridSpan w:val="2"/>
            <w:tcBorders>
              <w:top w:val="single" w:color="auto" w:sz="4" w:space="0"/>
              <w:left w:val="nil"/>
              <w:bottom w:val="single" w:color="auto" w:sz="4" w:space="0"/>
              <w:right w:val="single" w:color="auto" w:sz="4" w:space="0"/>
            </w:tcBorders>
            <w:shd w:val="clear" w:color="auto" w:fill="auto"/>
            <w:vAlign w:val="center"/>
          </w:tcPr>
          <w:p w14:paraId="679D6E5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7D106C9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088DF5D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88323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restart"/>
            <w:tcBorders>
              <w:top w:val="nil"/>
              <w:left w:val="single" w:color="auto" w:sz="4" w:space="0"/>
              <w:bottom w:val="single" w:color="auto" w:sz="4" w:space="0"/>
              <w:right w:val="single" w:color="auto" w:sz="4" w:space="0"/>
            </w:tcBorders>
            <w:shd w:val="clear" w:color="auto" w:fill="auto"/>
            <w:vAlign w:val="center"/>
          </w:tcPr>
          <w:p w14:paraId="1567E99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联系方式</w:t>
            </w:r>
          </w:p>
        </w:tc>
        <w:tc>
          <w:tcPr>
            <w:tcW w:w="1220" w:type="dxa"/>
            <w:tcBorders>
              <w:top w:val="single" w:color="auto" w:sz="4" w:space="0"/>
              <w:left w:val="nil"/>
              <w:bottom w:val="single" w:color="auto" w:sz="4" w:space="0"/>
              <w:right w:val="single" w:color="auto" w:sz="4" w:space="0"/>
            </w:tcBorders>
            <w:shd w:val="clear" w:color="auto" w:fill="auto"/>
            <w:vAlign w:val="center"/>
          </w:tcPr>
          <w:p w14:paraId="14BCB37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p>
        </w:tc>
        <w:tc>
          <w:tcPr>
            <w:tcW w:w="1601" w:type="dxa"/>
            <w:tcBorders>
              <w:top w:val="single" w:color="auto" w:sz="4" w:space="0"/>
              <w:left w:val="nil"/>
              <w:bottom w:val="single" w:color="auto" w:sz="4" w:space="0"/>
              <w:right w:val="single" w:color="auto" w:sz="4" w:space="0"/>
            </w:tcBorders>
            <w:shd w:val="clear" w:color="auto" w:fill="auto"/>
            <w:vAlign w:val="center"/>
          </w:tcPr>
          <w:p w14:paraId="1CB7C8B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344284F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5210FF8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46173D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continue"/>
            <w:tcBorders>
              <w:top w:val="nil"/>
              <w:left w:val="single" w:color="auto" w:sz="4" w:space="0"/>
              <w:bottom w:val="single" w:color="auto" w:sz="4" w:space="0"/>
              <w:right w:val="single" w:color="auto" w:sz="4" w:space="0"/>
            </w:tcBorders>
            <w:shd w:val="clear" w:color="auto" w:fill="auto"/>
            <w:vAlign w:val="center"/>
          </w:tcPr>
          <w:p w14:paraId="2FDAA7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271323E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601" w:type="dxa"/>
            <w:tcBorders>
              <w:top w:val="single" w:color="auto" w:sz="4" w:space="0"/>
              <w:left w:val="nil"/>
              <w:bottom w:val="single" w:color="auto" w:sz="4" w:space="0"/>
              <w:right w:val="single" w:color="auto" w:sz="4" w:space="0"/>
            </w:tcBorders>
            <w:shd w:val="clear" w:color="auto" w:fill="auto"/>
            <w:vAlign w:val="center"/>
          </w:tcPr>
          <w:p w14:paraId="1A2A31C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674AACD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p>
        </w:tc>
        <w:tc>
          <w:tcPr>
            <w:tcW w:w="2403" w:type="dxa"/>
            <w:tcBorders>
              <w:top w:val="single" w:color="auto" w:sz="4" w:space="0"/>
              <w:left w:val="nil"/>
              <w:bottom w:val="single" w:color="auto" w:sz="4" w:space="0"/>
              <w:right w:val="single" w:color="auto" w:sz="4" w:space="0"/>
            </w:tcBorders>
            <w:shd w:val="clear" w:color="auto" w:fill="auto"/>
            <w:vAlign w:val="center"/>
          </w:tcPr>
          <w:p w14:paraId="160C253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99301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4B870CD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1E04B1DD">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9230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F49C06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企业资质等级</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7DEEA8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DACA0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8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666087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资产构成情况及投资参股的关联企业情况</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22980F5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p w14:paraId="408268E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p w14:paraId="689FCBA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08F6C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97F1B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3470682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bl>
    <w:p w14:paraId="0A490517">
      <w:pPr>
        <w:keepNext w:val="0"/>
        <w:keepLines w:val="0"/>
        <w:widowControl/>
        <w:suppressLineNumbers w:val="0"/>
        <w:autoSpaceDE w:val="0"/>
        <w:autoSpaceDN w:val="0"/>
        <w:spacing w:before="0" w:beforeAutospacing="0" w:after="0" w:afterAutospacing="0" w:line="360" w:lineRule="atLeast"/>
        <w:ind w:left="180" w:right="0"/>
        <w:jc w:val="both"/>
        <w:textAlignment w:val="bottom"/>
        <w:rPr>
          <w:rFonts w:hint="default" w:ascii="Times New Roman" w:hAnsi="Times New Roman" w:eastAsia="宋体" w:cs="Times New Roman"/>
          <w:color w:val="auto"/>
          <w:kern w:val="2"/>
          <w:sz w:val="20"/>
          <w:szCs w:val="20"/>
          <w:highlight w:val="none"/>
        </w:rPr>
      </w:pPr>
      <w:r>
        <w:rPr>
          <w:rFonts w:hint="eastAsia" w:ascii="黑体" w:hAnsi="宋体" w:eastAsia="黑体" w:cs="黑体"/>
          <w:color w:val="auto"/>
          <w:kern w:val="2"/>
          <w:sz w:val="21"/>
          <w:szCs w:val="21"/>
          <w:highlight w:val="none"/>
          <w:lang w:val="en-US" w:eastAsia="zh-CN" w:bidi="ar"/>
        </w:rPr>
        <w:t>注：</w:t>
      </w:r>
    </w:p>
    <w:p w14:paraId="35096519">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在本表后应附企业法人营业执照、资质证书（如有）、授权代理证明材料（如有）及资格审查要求的其他证件复印件。</w:t>
      </w:r>
    </w:p>
    <w:p w14:paraId="7195BCB2">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5D4755FA">
      <w:pPr>
        <w:keepNext w:val="0"/>
        <w:keepLines w:val="0"/>
        <w:widowControl/>
        <w:suppressLineNumbers w:val="0"/>
        <w:spacing w:before="0" w:beforeAutospacing="0" w:after="0" w:afterAutospacing="0"/>
        <w:ind w:left="0" w:right="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br w:type="page"/>
      </w:r>
    </w:p>
    <w:p w14:paraId="6B768871">
      <w:pPr>
        <w:keepNext w:val="0"/>
        <w:keepLines w:val="0"/>
        <w:widowControl w:val="0"/>
        <w:suppressLineNumbers w:val="0"/>
        <w:spacing w:before="0" w:beforeAutospacing="0" w:after="0" w:afterAutospacing="0" w:line="440" w:lineRule="exact"/>
        <w:ind w:left="0" w:right="0"/>
        <w:jc w:val="center"/>
        <w:outlineLvl w:val="0"/>
        <w:rPr>
          <w:rFonts w:hint="default" w:ascii="黑体" w:hAnsi="宋体" w:eastAsia="黑体" w:cs="黑体"/>
          <w:color w:val="auto"/>
          <w:kern w:val="2"/>
          <w:sz w:val="28"/>
          <w:szCs w:val="28"/>
          <w:highlight w:val="none"/>
          <w:lang w:val="en-US" w:eastAsia="zh-CN" w:bidi="ar"/>
        </w:rPr>
      </w:pPr>
      <w:bookmarkStart w:id="96" w:name="_Toc28901"/>
      <w:bookmarkStart w:id="97" w:name="_Toc22364"/>
      <w:bookmarkStart w:id="98" w:name="_Toc9989"/>
      <w:bookmarkStart w:id="99" w:name="_Toc31962"/>
      <w:bookmarkStart w:id="100" w:name="_Toc12834"/>
      <w:bookmarkStart w:id="101" w:name="_Toc29819"/>
      <w:r>
        <w:rPr>
          <w:rFonts w:hint="eastAsia" w:ascii="黑体" w:hAnsi="宋体" w:eastAsia="黑体" w:cs="黑体"/>
          <w:color w:val="auto"/>
          <w:kern w:val="2"/>
          <w:sz w:val="28"/>
          <w:szCs w:val="28"/>
          <w:highlight w:val="none"/>
          <w:lang w:val="en-US" w:eastAsia="zh-CN" w:bidi="ar"/>
        </w:rPr>
        <w:t>四、近年类似业绩情况</w:t>
      </w:r>
      <w:bookmarkEnd w:id="96"/>
      <w:bookmarkEnd w:id="97"/>
      <w:bookmarkEnd w:id="98"/>
      <w:bookmarkEnd w:id="99"/>
      <w:bookmarkEnd w:id="100"/>
      <w:bookmarkEnd w:id="101"/>
    </w:p>
    <w:tbl>
      <w:tblPr>
        <w:tblStyle w:val="21"/>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6975"/>
      </w:tblGrid>
      <w:tr w14:paraId="01D1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F6CC6C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项目名称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63A932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1E5B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43E2C75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w:t>
            </w:r>
            <w:r>
              <w:rPr>
                <w:rFonts w:hint="default" w:ascii="Times New Roman" w:hAnsi="Times New Roman" w:cs="Times New Roman"/>
                <w:color w:val="auto"/>
                <w:szCs w:val="21"/>
                <w:highlight w:val="none"/>
              </w:rPr>
              <w:t>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B87AA3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5CB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120F8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业主代表姓名</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36D2789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D48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BE32D0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w:t>
            </w:r>
            <w:r>
              <w:rPr>
                <w:rFonts w:hint="default" w:ascii="Times New Roman" w:hAnsi="Times New Roman" w:cs="Times New Roman"/>
                <w:color w:val="auto"/>
                <w:szCs w:val="21"/>
                <w:highlight w:val="none"/>
              </w:rPr>
              <w:t>电话</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205BAE0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715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EF004C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合同价格</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573245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91F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336A66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lang w:val="en-US" w:eastAsia="zh-CN"/>
              </w:rPr>
              <w:t>供货</w:t>
            </w:r>
            <w:r>
              <w:rPr>
                <w:rFonts w:hint="eastAsia" w:ascii="Times New Roman" w:hAnsi="Times New Roman" w:cs="Times New Roman"/>
                <w:color w:val="auto"/>
                <w:szCs w:val="21"/>
                <w:highlight w:val="none"/>
              </w:rPr>
              <w:t>内容</w:t>
            </w:r>
            <w:r>
              <w:rPr>
                <w:rFonts w:hint="default" w:ascii="Times New Roman" w:hAnsi="Times New Roman" w:cs="Times New Roman"/>
                <w:color w:val="auto"/>
                <w:szCs w:val="21"/>
                <w:highlight w:val="none"/>
              </w:rPr>
              <w:t>描述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2CD962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310C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7F76E5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备注</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4E19245D">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bl>
    <w:p w14:paraId="72E64D95">
      <w:pPr>
        <w:keepNext w:val="0"/>
        <w:keepLines w:val="0"/>
        <w:widowControl/>
        <w:suppressLineNumbers w:val="0"/>
        <w:autoSpaceDE w:val="0"/>
        <w:autoSpaceDN w:val="0"/>
        <w:spacing w:before="0" w:beforeAutospacing="0" w:after="0" w:afterAutospacing="0" w:line="360" w:lineRule="atLeast"/>
        <w:ind w:left="418" w:right="0" w:hanging="418" w:hangingChars="209"/>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0"/>
          <w:szCs w:val="20"/>
          <w:highlight w:val="none"/>
          <w:lang w:val="en-US" w:eastAsia="zh-CN" w:bidi="ar"/>
        </w:rPr>
        <w:t>注：</w:t>
      </w:r>
    </w:p>
    <w:p w14:paraId="03ACE654">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1</w:t>
      </w:r>
      <w:r>
        <w:rPr>
          <w:rFonts w:hint="eastAsia" w:ascii="黑体" w:hAnsi="宋体" w:eastAsia="黑体" w:cs="黑体"/>
          <w:color w:val="auto"/>
          <w:kern w:val="2"/>
          <w:sz w:val="21"/>
          <w:szCs w:val="21"/>
          <w:highlight w:val="none"/>
          <w:lang w:val="en-US" w:eastAsia="zh-CN" w:bidi="ar"/>
        </w:rPr>
        <w:t>、每张表格只填写一个项目，并标明序号。</w:t>
      </w:r>
    </w:p>
    <w:p w14:paraId="1C474C20">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2</w:t>
      </w:r>
      <w:r>
        <w:rPr>
          <w:rFonts w:hint="eastAsia" w:ascii="黑体" w:hAnsi="宋体" w:eastAsia="黑体" w:cs="黑体"/>
          <w:color w:val="auto"/>
          <w:kern w:val="2"/>
          <w:sz w:val="21"/>
          <w:szCs w:val="21"/>
          <w:highlight w:val="none"/>
          <w:lang w:val="en-US" w:eastAsia="zh-CN" w:bidi="ar"/>
        </w:rPr>
        <w:t>、业绩证明材料要求：</w:t>
      </w:r>
      <w:r>
        <w:rPr>
          <w:rFonts w:hint="default" w:ascii="Times New Roman" w:hAnsi="Times New Roman" w:eastAsia="黑体" w:cs="Times New Roman"/>
          <w:color w:val="auto"/>
          <w:kern w:val="2"/>
          <w:sz w:val="21"/>
          <w:szCs w:val="21"/>
          <w:highlight w:val="none"/>
          <w:lang w:val="en-US" w:eastAsia="zh-CN" w:bidi="ar"/>
        </w:rPr>
        <w:t>_</w:t>
      </w:r>
      <w:r>
        <w:rPr>
          <w:rFonts w:hint="eastAsia" w:ascii="黑体" w:hAnsi="宋体" w:eastAsia="黑体" w:cs="黑体"/>
          <w:color w:val="auto"/>
          <w:kern w:val="2"/>
          <w:sz w:val="21"/>
          <w:szCs w:val="21"/>
          <w:highlight w:val="none"/>
          <w:u w:val="single"/>
          <w:lang w:val="en-US" w:eastAsia="zh-CN" w:bidi="ar"/>
        </w:rPr>
        <w:t>满足前附表要求</w:t>
      </w:r>
      <w:r>
        <w:rPr>
          <w:rFonts w:hint="default" w:ascii="Times New Roman" w:hAnsi="Times New Roman" w:eastAsia="黑体" w:cs="Times New Roman"/>
          <w:color w:val="auto"/>
          <w:kern w:val="2"/>
          <w:sz w:val="21"/>
          <w:szCs w:val="21"/>
          <w:highlight w:val="none"/>
          <w:lang w:val="en-US" w:eastAsia="zh-CN" w:bidi="ar"/>
        </w:rPr>
        <w:t>__</w:t>
      </w:r>
      <w:r>
        <w:rPr>
          <w:rFonts w:hint="eastAsia" w:ascii="黑体" w:hAnsi="宋体" w:eastAsia="黑体" w:cs="黑体"/>
          <w:color w:val="auto"/>
          <w:kern w:val="2"/>
          <w:sz w:val="21"/>
          <w:szCs w:val="21"/>
          <w:highlight w:val="none"/>
          <w:lang w:val="en-US" w:eastAsia="zh-CN" w:bidi="ar"/>
        </w:rPr>
        <w:t>。</w:t>
      </w:r>
    </w:p>
    <w:p w14:paraId="2818FFBB">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3</w:t>
      </w:r>
      <w:r>
        <w:rPr>
          <w:rFonts w:hint="eastAsia" w:ascii="黑体" w:hAnsi="宋体" w:eastAsia="黑体" w:cs="黑体"/>
          <w:color w:val="auto"/>
          <w:kern w:val="2"/>
          <w:sz w:val="21"/>
          <w:szCs w:val="21"/>
          <w:highlight w:val="none"/>
          <w:lang w:val="en-US" w:eastAsia="zh-CN" w:bidi="ar"/>
        </w:rPr>
        <w:t>、如近年来，供应商法人机构发生合法变更或重组或法人名称变更时，应提供相关部门的合法批件或其他相关证明材料来证明其所附业绩的继承性。</w:t>
      </w:r>
    </w:p>
    <w:p w14:paraId="027ED5EC">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eastAsia"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4</w:t>
      </w:r>
      <w:r>
        <w:rPr>
          <w:rFonts w:hint="eastAsia" w:ascii="黑体" w:hAnsi="宋体" w:eastAsia="黑体" w:cs="黑体"/>
          <w:color w:val="auto"/>
          <w:kern w:val="2"/>
          <w:sz w:val="21"/>
          <w:szCs w:val="21"/>
          <w:highlight w:val="none"/>
          <w:lang w:val="en-US" w:eastAsia="zh-CN" w:bidi="ar"/>
        </w:rPr>
        <w:t>、业绩证明材料须提供：合同协议书，否则评审小组不予认可。</w:t>
      </w:r>
      <w:r>
        <w:rPr>
          <w:rFonts w:hint="eastAsia" w:ascii="Times New Roman" w:hAnsi="Times New Roman" w:eastAsia="黑体" w:cs="Times New Roman"/>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0FDDF1C1">
      <w:pPr>
        <w:pStyle w:val="17"/>
        <w:keepNext w:val="0"/>
        <w:keepLines w:val="0"/>
        <w:widowControl w:val="0"/>
        <w:suppressLineNumbers w:val="0"/>
        <w:spacing w:before="0" w:beforeAutospacing="1" w:after="120" w:afterAutospacing="0"/>
        <w:ind w:left="0" w:right="0"/>
        <w:jc w:val="both"/>
        <w:rPr>
          <w:rFonts w:hint="eastAsia" w:ascii="Calibri" w:hAnsi="Calibri" w:eastAsia="黑体" w:cs="Times New Roman"/>
          <w:color w:val="auto"/>
          <w:kern w:val="2"/>
          <w:sz w:val="21"/>
          <w:szCs w:val="21"/>
          <w:highlight w:val="none"/>
        </w:rPr>
      </w:pPr>
      <w:r>
        <w:rPr>
          <w:rFonts w:hint="eastAsia" w:ascii="Calibri" w:hAnsi="Calibri" w:eastAsia="黑体" w:cs="Times New Roman"/>
          <w:color w:val="auto"/>
          <w:kern w:val="2"/>
          <w:sz w:val="21"/>
          <w:szCs w:val="21"/>
          <w:highlight w:val="none"/>
          <w:lang w:val="en-US" w:eastAsia="zh-CN" w:bidi="ar"/>
        </w:rPr>
        <w:t xml:space="preserve"> </w:t>
      </w:r>
    </w:p>
    <w:p w14:paraId="4B6BF3F0">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39BB9879">
      <w:pPr>
        <w:keepNext w:val="0"/>
        <w:keepLines w:val="0"/>
        <w:widowControl w:val="0"/>
        <w:suppressLineNumbers w:val="0"/>
        <w:topLinePunct/>
        <w:spacing w:before="0" w:beforeAutospacing="0" w:after="0" w:afterAutospacing="0" w:line="340" w:lineRule="atLeast"/>
        <w:ind w:left="0" w:right="0"/>
        <w:jc w:val="center"/>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8"/>
          <w:szCs w:val="28"/>
          <w:highlight w:val="none"/>
          <w:lang w:val="en-US" w:eastAsia="zh-CN" w:bidi="ar"/>
        </w:rPr>
        <w:br w:type="page"/>
      </w:r>
    </w:p>
    <w:p w14:paraId="3E51120A">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02" w:name="_Toc27124"/>
      <w:bookmarkStart w:id="103" w:name="_Toc22722"/>
      <w:bookmarkStart w:id="104" w:name="_Toc21498"/>
      <w:bookmarkStart w:id="105" w:name="_Toc8313"/>
      <w:bookmarkStart w:id="106" w:name="_Toc23165"/>
      <w:bookmarkStart w:id="107" w:name="_Toc29607"/>
      <w:r>
        <w:rPr>
          <w:rFonts w:hint="eastAsia" w:ascii="黑体" w:hAnsi="宋体" w:eastAsia="黑体" w:cs="黑体"/>
          <w:color w:val="auto"/>
          <w:kern w:val="2"/>
          <w:sz w:val="28"/>
          <w:szCs w:val="28"/>
          <w:highlight w:val="none"/>
          <w:lang w:val="en-US" w:eastAsia="zh-CN" w:bidi="ar"/>
        </w:rPr>
        <w:t>五、信誉情况</w:t>
      </w:r>
      <w:bookmarkEnd w:id="102"/>
      <w:bookmarkEnd w:id="103"/>
      <w:bookmarkEnd w:id="104"/>
      <w:bookmarkEnd w:id="105"/>
      <w:bookmarkEnd w:id="106"/>
      <w:bookmarkEnd w:id="107"/>
    </w:p>
    <w:p w14:paraId="33501A2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3"/>
          <w:szCs w:val="23"/>
          <w:highlight w:val="none"/>
        </w:rPr>
      </w:pPr>
      <w:r>
        <w:rPr>
          <w:rFonts w:hint="default" w:ascii="Times New Roman" w:hAnsi="Times New Roman" w:eastAsia="宋体" w:cs="Times New Roman"/>
          <w:bCs/>
          <w:color w:val="auto"/>
          <w:kern w:val="2"/>
          <w:sz w:val="23"/>
          <w:szCs w:val="23"/>
          <w:highlight w:val="none"/>
          <w:lang w:val="en-US" w:eastAsia="zh-CN" w:bidi="ar"/>
        </w:rPr>
        <w:t xml:space="preserve"> </w:t>
      </w:r>
    </w:p>
    <w:tbl>
      <w:tblPr>
        <w:tblStyle w:val="21"/>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41"/>
        <w:gridCol w:w="5330"/>
      </w:tblGrid>
      <w:tr w14:paraId="3D3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41" w:type="dxa"/>
            <w:tcBorders>
              <w:top w:val="single" w:color="auto" w:sz="4" w:space="0"/>
              <w:left w:val="single" w:color="auto" w:sz="4" w:space="0"/>
              <w:bottom w:val="single" w:color="auto" w:sz="4" w:space="0"/>
              <w:right w:val="single" w:color="auto" w:sz="4" w:space="0"/>
            </w:tcBorders>
            <w:shd w:val="clear" w:color="auto" w:fill="auto"/>
            <w:vAlign w:val="top"/>
          </w:tcPr>
          <w:p w14:paraId="60296C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项</w:t>
            </w:r>
            <w:r>
              <w:rPr>
                <w:rFonts w:hint="default" w:ascii="Times New Roman" w:hAnsi="Times New Roman" w:eastAsia="宋体" w:cs="Times New Roman"/>
                <w:bCs/>
                <w:color w:val="auto"/>
                <w:kern w:val="2"/>
                <w:sz w:val="21"/>
                <w:szCs w:val="21"/>
                <w:highlight w:val="none"/>
                <w:lang w:val="en-US" w:eastAsia="zh-CN" w:bidi="ar"/>
              </w:rPr>
              <w:t xml:space="preserve"> </w:t>
            </w:r>
            <w:r>
              <w:rPr>
                <w:rFonts w:hint="eastAsia" w:ascii="宋体" w:hAnsi="宋体" w:eastAsia="宋体" w:cs="宋体"/>
                <w:bCs/>
                <w:color w:val="auto"/>
                <w:kern w:val="2"/>
                <w:sz w:val="21"/>
                <w:szCs w:val="21"/>
                <w:highlight w:val="none"/>
                <w:lang w:val="en-US" w:eastAsia="zh-CN" w:bidi="ar"/>
              </w:rPr>
              <w:t>目</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60907B1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供应商情况说明</w:t>
            </w:r>
          </w:p>
        </w:tc>
      </w:tr>
      <w:tr w14:paraId="392D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0ADDC9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是否被责令停业，暂扣或吊销执照，或吊销资质证书</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341DF29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B49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C52471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是否进入清算程序，或被宣告破产，或其他丧失履约能力的情形</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28AC82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00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4C84A01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是否在国家企业信用信息公示系统（</w:t>
            </w:r>
            <w:r>
              <w:rPr>
                <w:rFonts w:hint="default" w:ascii="Times New Roman" w:hAnsi="Times New Roman" w:eastAsia="宋体" w:cs="Times New Roman"/>
                <w:color w:val="auto"/>
                <w:kern w:val="2"/>
                <w:sz w:val="24"/>
                <w:szCs w:val="24"/>
                <w:highlight w:val="none"/>
                <w:lang w:val="en-US" w:eastAsia="zh-CN" w:bidi="ar"/>
              </w:rPr>
              <w:t>www.gsxt.gov.cn</w:t>
            </w:r>
            <w:r>
              <w:rPr>
                <w:rFonts w:hint="eastAsia" w:ascii="宋体" w:hAnsi="宋体" w:eastAsia="宋体" w:cs="宋体"/>
                <w:color w:val="auto"/>
                <w:kern w:val="2"/>
                <w:sz w:val="24"/>
                <w:szCs w:val="24"/>
                <w:highlight w:val="none"/>
                <w:lang w:val="en-US" w:eastAsia="zh-CN" w:bidi="ar"/>
              </w:rPr>
              <w:t>）中被列入严重违法失信企业名单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33DE1A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E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6C4C56F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信用中国</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网站（</w:t>
            </w:r>
            <w:r>
              <w:rPr>
                <w:rFonts w:hint="default" w:ascii="Times New Roman" w:hAnsi="Times New Roman" w:eastAsia="宋体" w:cs="Times New Roman"/>
                <w:color w:val="auto"/>
                <w:kern w:val="2"/>
                <w:sz w:val="24"/>
                <w:szCs w:val="24"/>
                <w:highlight w:val="none"/>
                <w:lang w:val="en-US" w:eastAsia="zh-CN" w:bidi="ar"/>
              </w:rPr>
              <w:t>www.creditchina.gov.cn</w:t>
            </w:r>
            <w:r>
              <w:rPr>
                <w:rFonts w:hint="eastAsia" w:ascii="宋体" w:hAnsi="宋体" w:eastAsia="宋体" w:cs="宋体"/>
                <w:color w:val="auto"/>
                <w:kern w:val="2"/>
                <w:sz w:val="24"/>
                <w:szCs w:val="24"/>
                <w:highlight w:val="none"/>
                <w:lang w:val="en-US" w:eastAsia="zh-CN" w:bidi="ar"/>
              </w:rPr>
              <w:t>）中被列入失信被执行人名单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C22AF1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FE7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A222BD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是否在近三年内（自响应文件递交截止之日向前追溯</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年）供应商或其法定代表人有行贿犯罪行为</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4E40FFA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2FB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6BEE43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0DC06DC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bl>
    <w:p w14:paraId="3C6FE7C6">
      <w:pPr>
        <w:keepNext w:val="0"/>
        <w:keepLines w:val="0"/>
        <w:widowControl w:val="0"/>
        <w:suppressLineNumbers w:val="0"/>
        <w:spacing w:before="0" w:beforeAutospacing="0" w:after="0" w:afterAutospacing="0" w:line="440" w:lineRule="exact"/>
        <w:ind w:left="0" w:right="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注：本表需附证明材料。</w:t>
      </w:r>
    </w:p>
    <w:p w14:paraId="5F6E923E">
      <w:pPr>
        <w:pStyle w:val="17"/>
        <w:keepNext w:val="0"/>
        <w:keepLines w:val="0"/>
        <w:widowControl w:val="0"/>
        <w:suppressLineNumbers w:val="0"/>
        <w:spacing w:before="0" w:beforeAutospacing="1" w:after="120" w:afterAutospacing="0"/>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808E4C9">
      <w:pPr>
        <w:keepNext w:val="0"/>
        <w:keepLines w:val="0"/>
        <w:widowControl w:val="0"/>
        <w:suppressLineNumbers w:val="0"/>
        <w:spacing w:before="0" w:beforeAutospacing="0" w:after="0" w:afterAutospacing="0" w:line="440" w:lineRule="exact"/>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75B93371">
      <w:pPr>
        <w:pStyle w:val="17"/>
        <w:keepNext w:val="0"/>
        <w:keepLines w:val="0"/>
        <w:widowControl w:val="0"/>
        <w:suppressLineNumbers w:val="0"/>
        <w:spacing w:before="0" w:beforeAutospacing="1" w:after="120" w:afterAutospacing="0"/>
        <w:ind w:left="0" w:right="0"/>
        <w:jc w:val="right"/>
        <w:rPr>
          <w:rFonts w:hint="default" w:ascii="Calibri" w:hAnsi="Calibri" w:eastAsia="宋体" w:cs="Times New Roman"/>
          <w:color w:val="auto"/>
          <w:kern w:val="2"/>
          <w:sz w:val="21"/>
          <w:szCs w:val="21"/>
          <w:highlight w:val="none"/>
          <w:u w:val="singl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45E69B0">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 </w:t>
      </w:r>
    </w:p>
    <w:p w14:paraId="31EE91A8">
      <w:pPr>
        <w:pStyle w:val="17"/>
        <w:keepNext w:val="0"/>
        <w:keepLines w:val="0"/>
        <w:widowControl w:val="0"/>
        <w:suppressLineNumbers w:val="0"/>
        <w:spacing w:before="0" w:beforeAutospacing="1" w:after="12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2EAEDAD">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黑体" w:cs="Times New Roman"/>
          <w:color w:val="auto"/>
          <w:kern w:val="2"/>
          <w:sz w:val="27"/>
          <w:szCs w:val="27"/>
          <w:highlight w:val="none"/>
          <w:lang w:val="en-US" w:eastAsia="zh-CN" w:bidi="ar"/>
        </w:rPr>
        <w:br w:type="page"/>
      </w:r>
    </w:p>
    <w:p w14:paraId="0B0A4F81">
      <w:pPr>
        <w:keepNext w:val="0"/>
        <w:keepLines w:val="0"/>
        <w:widowControl w:val="0"/>
        <w:suppressLineNumbers w:val="0"/>
        <w:spacing w:before="0" w:beforeLines="0" w:beforeAutospacing="0" w:after="0" w:afterLines="0" w:afterAutospacing="0" w:line="440" w:lineRule="exact"/>
        <w:ind w:left="0" w:right="0"/>
        <w:jc w:val="center"/>
        <w:outlineLvl w:val="0"/>
        <w:rPr>
          <w:rFonts w:hint="default" w:ascii="Times New Roman" w:hAnsi="Times New Roman" w:cs="Times New Roman"/>
          <w:color w:val="auto"/>
          <w:kern w:val="2"/>
          <w:sz w:val="28"/>
          <w:szCs w:val="28"/>
          <w:highlight w:val="none"/>
          <w:lang w:val="en-US"/>
        </w:rPr>
      </w:pPr>
      <w:bookmarkStart w:id="108" w:name="_Toc15048"/>
      <w:bookmarkStart w:id="109" w:name="_Toc22047"/>
      <w:bookmarkStart w:id="110" w:name="_Toc10389"/>
      <w:bookmarkStart w:id="111" w:name="_Toc30847"/>
      <w:bookmarkStart w:id="112" w:name="_Toc22954"/>
      <w:bookmarkStart w:id="113" w:name="_Toc1569"/>
      <w:r>
        <w:rPr>
          <w:rFonts w:hint="eastAsia" w:ascii="黑体" w:hAnsi="宋体" w:eastAsia="黑体" w:cs="黑体"/>
          <w:color w:val="auto"/>
          <w:kern w:val="2"/>
          <w:sz w:val="28"/>
          <w:szCs w:val="28"/>
          <w:highlight w:val="none"/>
          <w:lang w:val="en-US" w:eastAsia="zh-CN" w:bidi="ar"/>
        </w:rPr>
        <w:t>六、企业实力</w:t>
      </w:r>
      <w:bookmarkEnd w:id="108"/>
      <w:bookmarkEnd w:id="109"/>
      <w:bookmarkEnd w:id="110"/>
      <w:bookmarkEnd w:id="111"/>
      <w:bookmarkEnd w:id="112"/>
    </w:p>
    <w:p w14:paraId="23B09A51">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bCs w:val="0"/>
          <w:color w:val="auto"/>
          <w:kern w:val="0"/>
          <w:sz w:val="21"/>
          <w:szCs w:val="21"/>
          <w:highlight w:val="none"/>
          <w:lang w:val="en-US" w:eastAsia="zh-CN" w:bidi="ar"/>
        </w:rPr>
        <w:t>1</w:t>
      </w:r>
      <w:r>
        <w:rPr>
          <w:rFonts w:hint="eastAsia" w:asciiTheme="minorEastAsia" w:hAnsiTheme="minorEastAsia" w:eastAsiaTheme="minorEastAsia" w:cstheme="minorEastAsia"/>
          <w:b/>
          <w:bCs w:val="0"/>
          <w:color w:val="auto"/>
          <w:kern w:val="0"/>
          <w:sz w:val="21"/>
          <w:szCs w:val="21"/>
          <w:highlight w:val="none"/>
          <w:lang w:bidi="ar"/>
        </w:rPr>
        <w:t>.办公场所情况</w:t>
      </w:r>
      <w:r>
        <w:rPr>
          <w:rFonts w:hint="eastAsia" w:asciiTheme="minorEastAsia" w:hAnsiTheme="minorEastAsia" w:eastAsiaTheme="minorEastAsia" w:cstheme="minorEastAsia"/>
          <w:b/>
          <w:bCs w:val="0"/>
          <w:color w:val="auto"/>
          <w:kern w:val="0"/>
          <w:sz w:val="21"/>
          <w:szCs w:val="21"/>
          <w:highlight w:val="none"/>
          <w:lang w:val="en-US" w:eastAsia="zh-CN" w:bidi="ar"/>
        </w:rPr>
        <w:t>：</w:t>
      </w:r>
    </w:p>
    <w:p w14:paraId="168C85EE">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color w:val="auto"/>
          <w:kern w:val="0"/>
          <w:sz w:val="21"/>
          <w:szCs w:val="21"/>
          <w:highlight w:val="none"/>
          <w:lang w:val="en-US" w:eastAsia="zh-CN" w:bidi="ar"/>
        </w:rPr>
        <w:t>2</w:t>
      </w:r>
      <w:r>
        <w:rPr>
          <w:rFonts w:hint="eastAsia" w:asciiTheme="minorEastAsia" w:hAnsiTheme="minorEastAsia" w:eastAsiaTheme="minorEastAsia" w:cstheme="minorEastAsia"/>
          <w:b/>
          <w:color w:val="auto"/>
          <w:kern w:val="0"/>
          <w:sz w:val="21"/>
          <w:szCs w:val="21"/>
          <w:highlight w:val="none"/>
          <w:lang w:bidi="ar"/>
        </w:rPr>
        <w:t>.企业获得奖项及荣誉证书等</w:t>
      </w:r>
      <w:r>
        <w:rPr>
          <w:rFonts w:hint="eastAsia" w:asciiTheme="minorEastAsia" w:hAnsiTheme="minorEastAsia" w:eastAsiaTheme="minorEastAsia" w:cstheme="minorEastAsia"/>
          <w:b/>
          <w:bCs w:val="0"/>
          <w:color w:val="auto"/>
          <w:kern w:val="0"/>
          <w:sz w:val="21"/>
          <w:szCs w:val="21"/>
          <w:highlight w:val="none"/>
          <w:lang w:eastAsia="zh-CN" w:bidi="ar"/>
        </w:rPr>
        <w:t>：</w:t>
      </w:r>
    </w:p>
    <w:p w14:paraId="2437230A">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cstheme="minorEastAsia"/>
          <w:b/>
          <w:bCs w:val="0"/>
          <w:color w:val="auto"/>
          <w:kern w:val="0"/>
          <w:sz w:val="21"/>
          <w:szCs w:val="21"/>
          <w:highlight w:val="none"/>
          <w:lang w:val="en-US" w:eastAsia="zh-CN" w:bidi="ar"/>
        </w:rPr>
        <w:t>3</w:t>
      </w:r>
      <w:r>
        <w:rPr>
          <w:rFonts w:hint="eastAsia" w:asciiTheme="minorEastAsia" w:hAnsiTheme="minorEastAsia" w:eastAsiaTheme="minorEastAsia" w:cstheme="minorEastAsia"/>
          <w:b/>
          <w:bCs w:val="0"/>
          <w:color w:val="auto"/>
          <w:kern w:val="0"/>
          <w:sz w:val="21"/>
          <w:szCs w:val="21"/>
          <w:highlight w:val="none"/>
          <w:lang w:bidi="ar"/>
        </w:rPr>
        <w:t>.人员情况</w:t>
      </w:r>
      <w:r>
        <w:rPr>
          <w:rFonts w:hint="eastAsia" w:asciiTheme="minorEastAsia" w:hAnsiTheme="minorEastAsia" w:cstheme="minorEastAsia"/>
          <w:b/>
          <w:bCs w:val="0"/>
          <w:color w:val="auto"/>
          <w:kern w:val="0"/>
          <w:sz w:val="21"/>
          <w:szCs w:val="21"/>
          <w:highlight w:val="none"/>
          <w:lang w:val="en-US" w:eastAsia="zh-CN" w:bidi="ar"/>
        </w:rPr>
        <w:t>：</w:t>
      </w:r>
    </w:p>
    <w:p w14:paraId="77704387">
      <w:pPr>
        <w:keepNext w:val="0"/>
        <w:keepLines w:val="0"/>
        <w:widowControl w:val="0"/>
        <w:suppressLineNumbers w:val="0"/>
        <w:spacing w:before="0" w:beforeLines="0" w:beforeAutospacing="0" w:after="0" w:afterLines="0" w:afterAutospacing="0" w:line="480" w:lineRule="auto"/>
        <w:ind w:left="0" w:right="0"/>
        <w:jc w:val="left"/>
        <w:rPr>
          <w:rFonts w:hint="eastAsia" w:ascii="Times New Roman" w:hAnsi="Times New Roman" w:cs="Times New Roman" w:eastAsiaTheme="minorEastAsia"/>
          <w:b/>
          <w:bCs w:val="0"/>
          <w:color w:val="auto"/>
          <w:kern w:val="2"/>
          <w:sz w:val="20"/>
          <w:szCs w:val="20"/>
          <w:highlight w:val="none"/>
          <w:lang w:val="en-US" w:eastAsia="zh-CN"/>
        </w:rPr>
      </w:pPr>
    </w:p>
    <w:p w14:paraId="0573390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28D66702">
      <w:pPr>
        <w:pStyle w:val="8"/>
        <w:rPr>
          <w:rFonts w:hint="eastAsia" w:ascii="黑体" w:hAnsi="宋体" w:eastAsia="黑体" w:cs="黑体"/>
          <w:color w:val="auto"/>
          <w:kern w:val="2"/>
          <w:sz w:val="28"/>
          <w:szCs w:val="28"/>
          <w:highlight w:val="none"/>
          <w:lang w:val="en-US" w:eastAsia="zh-CN" w:bidi="ar"/>
        </w:rPr>
      </w:pPr>
    </w:p>
    <w:p w14:paraId="6FF13152">
      <w:pPr>
        <w:pStyle w:val="9"/>
        <w:rPr>
          <w:rFonts w:hint="eastAsia"/>
          <w:color w:val="auto"/>
          <w:highlight w:val="none"/>
          <w:lang w:val="en-US" w:eastAsia="zh-CN"/>
        </w:rPr>
      </w:pPr>
    </w:p>
    <w:p w14:paraId="5988C88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599B73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E52E40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9B86DC1">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C5D821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111764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BE264D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D367F77">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229ACC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248CE7F">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61F7A5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452E10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2C0FFA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B3D964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4D4BE2E9">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B199B6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9B424C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84E9C6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4D107C8">
      <w:pPr>
        <w:pStyle w:val="2"/>
        <w:rPr>
          <w:rFonts w:hint="eastAsia" w:ascii="黑体" w:hAnsi="宋体" w:eastAsia="黑体" w:cs="黑体"/>
          <w:color w:val="auto"/>
          <w:kern w:val="2"/>
          <w:sz w:val="28"/>
          <w:szCs w:val="28"/>
          <w:highlight w:val="none"/>
          <w:lang w:val="en-US" w:eastAsia="zh-CN" w:bidi="ar"/>
        </w:rPr>
      </w:pPr>
    </w:p>
    <w:p w14:paraId="659E9578">
      <w:pPr>
        <w:rPr>
          <w:rFonts w:hint="eastAsia"/>
          <w:lang w:val="en-US" w:eastAsia="zh-CN"/>
        </w:rPr>
      </w:pPr>
    </w:p>
    <w:p w14:paraId="63FC4EDE">
      <w:pPr>
        <w:pStyle w:val="8"/>
        <w:rPr>
          <w:rFonts w:hint="eastAsia"/>
          <w:lang w:val="en-US" w:eastAsia="zh-CN"/>
        </w:rPr>
      </w:pPr>
    </w:p>
    <w:p w14:paraId="35CE292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E8ED9C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lang w:val="en-US"/>
        </w:rPr>
      </w:pPr>
      <w:bookmarkStart w:id="114" w:name="_Toc22740"/>
      <w:bookmarkStart w:id="115" w:name="_Toc9722"/>
      <w:bookmarkStart w:id="116" w:name="_Toc19445"/>
      <w:bookmarkStart w:id="117" w:name="_Toc7906"/>
      <w:bookmarkStart w:id="118" w:name="_Toc29720"/>
      <w:r>
        <w:rPr>
          <w:rFonts w:hint="eastAsia" w:ascii="黑体" w:hAnsi="宋体" w:eastAsia="黑体" w:cs="黑体"/>
          <w:color w:val="auto"/>
          <w:kern w:val="2"/>
          <w:sz w:val="28"/>
          <w:szCs w:val="28"/>
          <w:highlight w:val="none"/>
          <w:lang w:val="en-US" w:eastAsia="zh-CN" w:bidi="ar"/>
        </w:rPr>
        <w:t>七、</w:t>
      </w:r>
      <w:bookmarkEnd w:id="113"/>
      <w:bookmarkEnd w:id="114"/>
      <w:bookmarkEnd w:id="115"/>
      <w:bookmarkEnd w:id="116"/>
      <w:bookmarkEnd w:id="117"/>
      <w:r>
        <w:rPr>
          <w:rFonts w:hint="eastAsia" w:ascii="黑体" w:hAnsi="宋体" w:eastAsia="黑体" w:cs="黑体"/>
          <w:color w:val="auto"/>
          <w:kern w:val="2"/>
          <w:sz w:val="28"/>
          <w:szCs w:val="28"/>
          <w:highlight w:val="none"/>
          <w:lang w:val="en-US" w:eastAsia="zh-CN" w:bidi="ar"/>
        </w:rPr>
        <w:t>检测报告及合格证</w:t>
      </w:r>
      <w:bookmarkEnd w:id="118"/>
    </w:p>
    <w:p w14:paraId="61C9C3CB">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F16A055">
      <w:pPr>
        <w:keepNext w:val="0"/>
        <w:keepLines w:val="0"/>
        <w:widowControl w:val="0"/>
        <w:suppressLineNumbers w:val="0"/>
        <w:spacing w:before="0" w:beforeAutospacing="0" w:after="0" w:afterAutospacing="0"/>
        <w:ind w:left="0" w:right="0"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 xml:space="preserve"> </w:t>
      </w:r>
    </w:p>
    <w:p w14:paraId="51985438">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A6ACF41">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A4995E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C39677B">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1AEE52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2988E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7B8666F">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9A5516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1256764">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06E25C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F46100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037303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03ADCA">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6AF27A8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4C42973B">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3C45926F">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bookmarkStart w:id="119" w:name="_Toc31378"/>
      <w:bookmarkStart w:id="120" w:name="_Toc7941"/>
    </w:p>
    <w:p w14:paraId="625C0E6D">
      <w:pPr>
        <w:spacing w:beforeLines="0" w:afterLines="0" w:line="440" w:lineRule="exact"/>
        <w:jc w:val="center"/>
        <w:outlineLvl w:val="0"/>
        <w:rPr>
          <w:rFonts w:hint="default" w:ascii="Times New Roman" w:hAnsi="Times New Roman" w:eastAsia="黑体"/>
          <w:color w:val="auto"/>
          <w:sz w:val="28"/>
          <w:szCs w:val="28"/>
          <w:highlight w:val="none"/>
          <w:lang w:val="en-US" w:eastAsia="zh-CN"/>
        </w:rPr>
      </w:pPr>
      <w:bookmarkStart w:id="121" w:name="_Toc28805"/>
      <w:bookmarkStart w:id="122" w:name="_Toc27742"/>
      <w:bookmarkStart w:id="123" w:name="_Toc28481"/>
      <w:bookmarkStart w:id="124" w:name="_Toc5689"/>
      <w:r>
        <w:rPr>
          <w:rFonts w:hint="eastAsia" w:ascii="Times New Roman" w:hAnsi="Times New Roman" w:eastAsia="黑体"/>
          <w:color w:val="auto"/>
          <w:sz w:val="28"/>
          <w:szCs w:val="28"/>
          <w:highlight w:val="none"/>
          <w:lang w:val="en-US" w:eastAsia="zh-CN"/>
        </w:rPr>
        <w:t>八</w:t>
      </w:r>
      <w:r>
        <w:rPr>
          <w:rFonts w:hint="eastAsia" w:ascii="Times New Roman" w:hAnsi="Times New Roman" w:eastAsia="黑体"/>
          <w:color w:val="auto"/>
          <w:sz w:val="28"/>
          <w:szCs w:val="28"/>
          <w:highlight w:val="none"/>
        </w:rPr>
        <w:t>、</w:t>
      </w:r>
      <w:bookmarkEnd w:id="119"/>
      <w:r>
        <w:rPr>
          <w:rFonts w:hint="eastAsia" w:ascii="Times New Roman" w:hAnsi="Times New Roman" w:eastAsia="黑体"/>
          <w:color w:val="auto"/>
          <w:sz w:val="28"/>
          <w:szCs w:val="28"/>
          <w:highlight w:val="none"/>
          <w:lang w:val="en-US" w:eastAsia="zh-CN"/>
        </w:rPr>
        <w:t>供货方案</w:t>
      </w:r>
      <w:bookmarkEnd w:id="121"/>
      <w:bookmarkEnd w:id="122"/>
      <w:bookmarkEnd w:id="123"/>
      <w:bookmarkEnd w:id="124"/>
    </w:p>
    <w:p w14:paraId="1E84018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25" w:name="_Toc10923"/>
      <w:bookmarkStart w:id="126" w:name="_Toc2332"/>
      <w:bookmarkStart w:id="127" w:name="_Toc3565"/>
      <w:bookmarkStart w:id="128" w:name="_Toc6951"/>
      <w:bookmarkStart w:id="129" w:name="_Toc15543"/>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供货方案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25"/>
      <w:bookmarkEnd w:id="126"/>
      <w:bookmarkEnd w:id="127"/>
      <w:bookmarkEnd w:id="128"/>
      <w:bookmarkEnd w:id="129"/>
    </w:p>
    <w:p w14:paraId="7819A5B5">
      <w:pPr>
        <w:spacing w:beforeLines="0" w:afterLines="0" w:line="440" w:lineRule="exact"/>
        <w:jc w:val="center"/>
        <w:outlineLvl w:val="0"/>
        <w:rPr>
          <w:rFonts w:hint="eastAsia" w:ascii="Times New Roman" w:hAnsi="Times New Roman" w:eastAsia="黑体"/>
          <w:color w:val="auto"/>
          <w:sz w:val="28"/>
          <w:szCs w:val="28"/>
          <w:highlight w:val="none"/>
        </w:rPr>
      </w:pPr>
    </w:p>
    <w:p w14:paraId="6DC9943D">
      <w:pPr>
        <w:pStyle w:val="8"/>
        <w:rPr>
          <w:rFonts w:hint="eastAsia"/>
          <w:color w:val="auto"/>
          <w:highlight w:val="none"/>
        </w:rPr>
      </w:pPr>
    </w:p>
    <w:p w14:paraId="6BD11B5F">
      <w:pPr>
        <w:spacing w:beforeLines="0" w:afterLines="0" w:line="440" w:lineRule="exact"/>
        <w:jc w:val="center"/>
        <w:outlineLvl w:val="0"/>
        <w:rPr>
          <w:rFonts w:hint="eastAsia" w:ascii="Times New Roman" w:hAnsi="Times New Roman" w:eastAsia="黑体"/>
          <w:color w:val="auto"/>
          <w:sz w:val="28"/>
          <w:szCs w:val="28"/>
          <w:highlight w:val="none"/>
        </w:rPr>
      </w:pPr>
    </w:p>
    <w:bookmarkEnd w:id="120"/>
    <w:p w14:paraId="735BEFF5">
      <w:pPr>
        <w:spacing w:beforeLines="0" w:afterLines="0" w:line="440" w:lineRule="exact"/>
        <w:rPr>
          <w:rFonts w:hint="eastAsia" w:ascii="Times New Roman" w:hAnsi="Times New Roman" w:eastAsia="Times New Roman"/>
          <w:color w:val="auto"/>
          <w:sz w:val="20"/>
          <w:szCs w:val="20"/>
          <w:highlight w:val="none"/>
        </w:rPr>
      </w:pPr>
    </w:p>
    <w:p w14:paraId="039EC7DC">
      <w:pPr>
        <w:pStyle w:val="17"/>
        <w:keepNext w:val="0"/>
        <w:keepLines w:val="0"/>
        <w:widowControl w:val="0"/>
        <w:suppressLineNumbers w:val="0"/>
        <w:spacing w:before="0" w:beforeAutospacing="1" w:after="120" w:afterAutospacing="0"/>
        <w:ind w:right="0"/>
        <w:jc w:val="both"/>
        <w:rPr>
          <w:rFonts w:hint="default" w:ascii="Times New Roman" w:hAnsi="Times New Roman" w:eastAsia="黑体" w:cs="Times New Roman"/>
          <w:color w:val="auto"/>
          <w:kern w:val="2"/>
          <w:sz w:val="28"/>
          <w:szCs w:val="28"/>
          <w:highlight w:val="none"/>
        </w:rPr>
      </w:pPr>
    </w:p>
    <w:p w14:paraId="065E34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BA98B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31836C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C0A85EE">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9C571D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DDCA947">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722D55C">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611D3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FB8A05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6BF9F7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D76677">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52E8D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26FDB49D">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bookmarkStart w:id="130" w:name="_Toc30485"/>
    </w:p>
    <w:p w14:paraId="13EB74BC">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p>
    <w:p w14:paraId="603EA04B">
      <w:pPr>
        <w:spacing w:beforeLines="0" w:afterLines="0" w:line="440" w:lineRule="exact"/>
        <w:jc w:val="center"/>
        <w:outlineLvl w:val="0"/>
        <w:rPr>
          <w:rFonts w:hint="eastAsia" w:ascii="Times New Roman" w:hAnsi="Times New Roman" w:eastAsia="黑体"/>
          <w:color w:val="auto"/>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bookmarkStart w:id="131" w:name="_Toc8048"/>
      <w:bookmarkStart w:id="132" w:name="_Toc23034"/>
      <w:bookmarkStart w:id="133" w:name="_Toc31164"/>
      <w:bookmarkStart w:id="134" w:name="_Toc9218"/>
      <w:bookmarkStart w:id="135" w:name="_Toc28647"/>
      <w:r>
        <w:rPr>
          <w:rFonts w:hint="eastAsia" w:ascii="Times New Roman" w:hAnsi="Times New Roman" w:eastAsia="黑体" w:cs="Times New Roman"/>
          <w:color w:val="auto"/>
          <w:kern w:val="2"/>
          <w:sz w:val="28"/>
          <w:szCs w:val="28"/>
          <w:highlight w:val="none"/>
          <w:lang w:val="en-US" w:eastAsia="zh-CN" w:bidi="ar"/>
        </w:rPr>
        <w:t>九</w:t>
      </w:r>
      <w:r>
        <w:rPr>
          <w:rFonts w:hint="eastAsia" w:ascii="Times New Roman" w:hAnsi="Times New Roman" w:eastAsia="黑体"/>
          <w:color w:val="auto"/>
          <w:sz w:val="28"/>
          <w:szCs w:val="28"/>
          <w:highlight w:val="none"/>
        </w:rPr>
        <w:t>、</w:t>
      </w:r>
      <w:bookmarkEnd w:id="131"/>
      <w:r>
        <w:rPr>
          <w:rFonts w:hint="eastAsia" w:ascii="Times New Roman" w:hAnsi="Times New Roman" w:eastAsia="黑体"/>
          <w:color w:val="auto"/>
          <w:sz w:val="28"/>
          <w:szCs w:val="28"/>
          <w:highlight w:val="none"/>
          <w:lang w:val="en-US" w:eastAsia="zh-CN"/>
        </w:rPr>
        <w:t>售后服务方案</w:t>
      </w:r>
      <w:bookmarkEnd w:id="132"/>
      <w:bookmarkEnd w:id="133"/>
      <w:bookmarkEnd w:id="134"/>
      <w:bookmarkEnd w:id="135"/>
    </w:p>
    <w:p w14:paraId="4FCD267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36" w:name="_Toc30922"/>
      <w:bookmarkStart w:id="137" w:name="_Toc9931"/>
      <w:bookmarkStart w:id="138" w:name="_Toc7405"/>
      <w:bookmarkStart w:id="139" w:name="_Toc7980"/>
      <w:bookmarkStart w:id="140" w:name="_Toc2751"/>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售后服务方案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36"/>
      <w:bookmarkEnd w:id="137"/>
      <w:bookmarkEnd w:id="138"/>
      <w:bookmarkEnd w:id="139"/>
      <w:bookmarkEnd w:id="140"/>
    </w:p>
    <w:p w14:paraId="10E2C7A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25346B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202A8B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1994CF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5E115A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8C9A0C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2BE65C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9C8BDC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511C08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A94FEF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740606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E86E65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1D4DB5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735671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6624A8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FE90D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8A9E9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99099D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DD845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F0F211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DD6DE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55BA99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357505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42D10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3CF17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38F5CB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EF0DC0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37D0EF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F1B62BC">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8FA055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E57887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41" w:name="_Toc16480"/>
      <w:bookmarkStart w:id="142" w:name="_Toc14186"/>
      <w:bookmarkStart w:id="143" w:name="_Toc21056"/>
      <w:bookmarkStart w:id="144" w:name="_Toc11900"/>
      <w:bookmarkStart w:id="145" w:name="_Toc22621"/>
      <w:r>
        <w:rPr>
          <w:rFonts w:hint="eastAsia" w:ascii="黑体" w:hAnsi="宋体" w:eastAsia="黑体" w:cs="黑体"/>
          <w:color w:val="auto"/>
          <w:kern w:val="2"/>
          <w:sz w:val="28"/>
          <w:szCs w:val="28"/>
          <w:highlight w:val="none"/>
          <w:lang w:val="en-US" w:eastAsia="zh-CN" w:bidi="ar"/>
        </w:rPr>
        <w:t>十、承诺书</w:t>
      </w:r>
      <w:bookmarkEnd w:id="130"/>
      <w:bookmarkEnd w:id="141"/>
      <w:bookmarkEnd w:id="142"/>
      <w:bookmarkEnd w:id="143"/>
      <w:bookmarkEnd w:id="144"/>
      <w:bookmarkEnd w:id="145"/>
    </w:p>
    <w:p w14:paraId="0D42E53B">
      <w:pPr>
        <w:pStyle w:val="17"/>
        <w:keepNext w:val="0"/>
        <w:keepLines w:val="0"/>
        <w:widowControl w:val="0"/>
        <w:suppressLineNumbers w:val="0"/>
        <w:spacing w:before="0" w:beforeAutospacing="1" w:after="120" w:afterAutospacing="0"/>
        <w:ind w:left="0" w:right="0"/>
        <w:jc w:val="center"/>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color w:val="auto"/>
          <w:kern w:val="2"/>
          <w:sz w:val="36"/>
          <w:szCs w:val="36"/>
          <w:highlight w:val="none"/>
          <w:lang w:val="en-US" w:eastAsia="zh-CN" w:bidi="ar"/>
        </w:rPr>
        <w:t>承诺书</w:t>
      </w:r>
    </w:p>
    <w:p w14:paraId="548EF55B">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致：</w:t>
      </w:r>
      <w:r>
        <w:rPr>
          <w:rFonts w:hint="eastAsia" w:ascii="Times New Roman" w:hAnsi="Times New Roman" w:eastAsia="宋体" w:cs="Times New Roman"/>
          <w:color w:val="auto"/>
          <w:kern w:val="2"/>
          <w:sz w:val="24"/>
          <w:szCs w:val="24"/>
          <w:highlight w:val="none"/>
          <w:lang w:val="en-US" w:eastAsia="zh-CN" w:bidi="ar"/>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p>
    <w:p w14:paraId="48595158">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1. </w:t>
      </w:r>
      <w:r>
        <w:rPr>
          <w:rFonts w:hint="eastAsia" w:ascii="宋体" w:hAnsi="宋体" w:eastAsia="宋体" w:cs="宋体"/>
          <w:color w:val="auto"/>
          <w:kern w:val="2"/>
          <w:sz w:val="24"/>
          <w:szCs w:val="24"/>
          <w:highlight w:val="none"/>
          <w:lang w:val="en-US" w:eastAsia="zh-CN" w:bidi="ar"/>
        </w:rPr>
        <w:t>我方已仔细研究了</w:t>
      </w:r>
      <w:r>
        <w:rPr>
          <w:rFonts w:hint="eastAsia" w:ascii="Times New Roman" w:hAnsi="Times New Roman" w:eastAsia="宋体" w:cs="Times New Roman"/>
          <w:color w:val="auto"/>
          <w:kern w:val="2"/>
          <w:sz w:val="24"/>
          <w:szCs w:val="24"/>
          <w:highlight w:val="none"/>
          <w:u w:val="single"/>
          <w:lang w:val="en-US" w:eastAsia="zh-CN" w:bidi="ar"/>
        </w:rPr>
        <w:t>安徽交控集团2025年度服务区综合改造提升工程项目空气能设备采购及安装项目</w:t>
      </w:r>
      <w:r>
        <w:rPr>
          <w:rFonts w:hint="eastAsia" w:ascii="宋体" w:hAnsi="宋体" w:eastAsia="宋体" w:cs="宋体"/>
          <w:color w:val="auto"/>
          <w:kern w:val="2"/>
          <w:sz w:val="24"/>
          <w:szCs w:val="24"/>
          <w:highlight w:val="none"/>
          <w:lang w:val="en-US" w:eastAsia="zh-CN" w:bidi="ar"/>
        </w:rPr>
        <w:t>采购文件的全部内容，愿意以报价文件响应函中的响应总报价提供采购文件要求的货物、技术服务和质保售后服务等，并按合同约定履行义务。</w:t>
      </w:r>
      <w:r>
        <w:rPr>
          <w:rFonts w:hint="eastAsia" w:ascii="Times New Roman" w:hAnsi="Times New Roman" w:eastAsia="宋体" w:cs="Times New Roman"/>
          <w:color w:val="auto"/>
          <w:kern w:val="2"/>
          <w:sz w:val="24"/>
          <w:szCs w:val="24"/>
          <w:highlight w:val="none"/>
          <w:lang w:val="en-US" w:eastAsia="zh-CN" w:bidi="ar"/>
        </w:rPr>
        <w:t xml:space="preserve"> </w:t>
      </w:r>
    </w:p>
    <w:p w14:paraId="18CF7F7B">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宋体" w:hAnsi="宋体" w:eastAsia="宋体" w:cs="宋体"/>
          <w:color w:val="auto"/>
          <w:kern w:val="2"/>
          <w:sz w:val="24"/>
          <w:szCs w:val="24"/>
          <w:highlight w:val="none"/>
          <w:lang w:val="en-US" w:eastAsia="zh-CN" w:bidi="ar"/>
        </w:rPr>
        <w:t>我方承诺响应文件资料真实有效，我方采购文件的全部要求。</w:t>
      </w:r>
      <w:r>
        <w:rPr>
          <w:rFonts w:hint="eastAsia" w:ascii="Times New Roman" w:hAnsi="Times New Roman" w:eastAsia="宋体" w:cs="Times New Roman"/>
          <w:color w:val="auto"/>
          <w:kern w:val="2"/>
          <w:sz w:val="24"/>
          <w:szCs w:val="24"/>
          <w:highlight w:val="none"/>
          <w:lang w:val="en-US" w:eastAsia="zh-CN" w:bidi="ar"/>
        </w:rPr>
        <w:t xml:space="preserve"> </w:t>
      </w:r>
    </w:p>
    <w:p w14:paraId="7B4BF94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3. </w:t>
      </w:r>
      <w:r>
        <w:rPr>
          <w:rFonts w:hint="eastAsia" w:ascii="宋体" w:hAnsi="宋体" w:eastAsia="宋体" w:cs="宋体"/>
          <w:color w:val="auto"/>
          <w:kern w:val="2"/>
          <w:sz w:val="24"/>
          <w:szCs w:val="24"/>
          <w:highlight w:val="none"/>
          <w:lang w:val="en-US" w:eastAsia="zh-CN" w:bidi="ar"/>
        </w:rPr>
        <w:t>我方承诺在采购文件规定的响应有效期内不撤销响应文件。</w:t>
      </w:r>
      <w:r>
        <w:rPr>
          <w:rFonts w:hint="eastAsia" w:ascii="Times New Roman" w:hAnsi="Times New Roman" w:eastAsia="宋体" w:cs="Times New Roman"/>
          <w:color w:val="auto"/>
          <w:kern w:val="2"/>
          <w:sz w:val="24"/>
          <w:szCs w:val="24"/>
          <w:highlight w:val="none"/>
          <w:lang w:val="en-US" w:eastAsia="zh-CN" w:bidi="ar"/>
        </w:rPr>
        <w:t xml:space="preserve"> </w:t>
      </w:r>
    </w:p>
    <w:p w14:paraId="53EF690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4. </w:t>
      </w:r>
      <w:r>
        <w:rPr>
          <w:rFonts w:hint="eastAsia" w:ascii="宋体" w:hAnsi="宋体" w:eastAsia="宋体" w:cs="宋体"/>
          <w:color w:val="auto"/>
          <w:kern w:val="2"/>
          <w:sz w:val="24"/>
          <w:szCs w:val="24"/>
          <w:highlight w:val="none"/>
          <w:lang w:val="en-US" w:eastAsia="zh-CN" w:bidi="ar"/>
        </w:rPr>
        <w:t>如我方成交，我方承诺：</w:t>
      </w:r>
      <w:r>
        <w:rPr>
          <w:rFonts w:hint="eastAsia" w:ascii="Times New Roman" w:hAnsi="Times New Roman" w:eastAsia="宋体" w:cs="Times New Roman"/>
          <w:color w:val="auto"/>
          <w:kern w:val="2"/>
          <w:sz w:val="24"/>
          <w:szCs w:val="24"/>
          <w:highlight w:val="none"/>
          <w:lang w:val="en-US" w:eastAsia="zh-CN" w:bidi="ar"/>
        </w:rPr>
        <w:t xml:space="preserve"> </w:t>
      </w:r>
    </w:p>
    <w:p w14:paraId="3265B8FE">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）在收到成交通知书后，在成交通知书规定的期限内与你方签订合同；</w:t>
      </w:r>
      <w:r>
        <w:rPr>
          <w:rFonts w:hint="eastAsia" w:ascii="Times New Roman" w:hAnsi="Times New Roman" w:eastAsia="宋体" w:cs="Times New Roman"/>
          <w:color w:val="auto"/>
          <w:kern w:val="2"/>
          <w:sz w:val="24"/>
          <w:szCs w:val="24"/>
          <w:highlight w:val="none"/>
          <w:lang w:val="en-US" w:eastAsia="zh-CN" w:bidi="ar"/>
        </w:rPr>
        <w:t xml:space="preserve"> </w:t>
      </w:r>
    </w:p>
    <w:p w14:paraId="716F21FA">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）在签订合同时不向你方提出附加条件；</w:t>
      </w:r>
      <w:r>
        <w:rPr>
          <w:rFonts w:hint="eastAsia" w:ascii="Times New Roman" w:hAnsi="Times New Roman" w:eastAsia="宋体" w:cs="Times New Roman"/>
          <w:color w:val="auto"/>
          <w:kern w:val="2"/>
          <w:sz w:val="24"/>
          <w:szCs w:val="24"/>
          <w:highlight w:val="none"/>
          <w:lang w:val="en-US" w:eastAsia="zh-CN" w:bidi="ar"/>
        </w:rPr>
        <w:t xml:space="preserve"> </w:t>
      </w:r>
    </w:p>
    <w:p w14:paraId="5A36D51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）按照采购文件要求提交履约保证金；</w:t>
      </w:r>
      <w:r>
        <w:rPr>
          <w:rFonts w:hint="eastAsia" w:ascii="Times New Roman" w:hAnsi="Times New Roman" w:eastAsia="宋体" w:cs="Times New Roman"/>
          <w:color w:val="auto"/>
          <w:kern w:val="2"/>
          <w:sz w:val="24"/>
          <w:szCs w:val="24"/>
          <w:highlight w:val="none"/>
          <w:lang w:val="en-US" w:eastAsia="zh-CN" w:bidi="ar"/>
        </w:rPr>
        <w:t xml:space="preserve"> </w:t>
      </w:r>
    </w:p>
    <w:p w14:paraId="68B1C37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）在合同约定的期限内完成合同规定的全部义务；</w:t>
      </w:r>
    </w:p>
    <w:p w14:paraId="6F2C472B">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w:t>
      </w:r>
      <w:r>
        <w:rPr>
          <w:rFonts w:hint="eastAsia" w:ascii="Times New Roman" w:hAnsi="Times New Roman" w:eastAsia="宋体" w:cs="Times New Roman"/>
          <w:b/>
          <w:bCs/>
          <w:color w:val="auto"/>
          <w:kern w:val="2"/>
          <w:sz w:val="24"/>
          <w:szCs w:val="24"/>
          <w:highlight w:val="none"/>
          <w:lang w:val="en-US" w:eastAsia="zh-CN" w:bidi="ar"/>
        </w:rPr>
        <w:t>5</w:t>
      </w:r>
      <w:r>
        <w:rPr>
          <w:rFonts w:hint="eastAsia" w:ascii="宋体" w:hAnsi="宋体" w:eastAsia="宋体" w:cs="宋体"/>
          <w:b/>
          <w:bCs/>
          <w:color w:val="auto"/>
          <w:kern w:val="2"/>
          <w:sz w:val="24"/>
          <w:szCs w:val="24"/>
          <w:highlight w:val="none"/>
          <w:lang w:val="en-US" w:eastAsia="zh-CN" w:bidi="ar"/>
        </w:rPr>
        <w:t>）在你方和我方进行合同谈判之前，我方将按照响应文件中填报信息及采购文件提出的要求严格执行，如我方设备及相关资料不满足合同附件要求，你方有权取消我方成交资格。</w:t>
      </w:r>
      <w:r>
        <w:rPr>
          <w:rFonts w:hint="eastAsia" w:ascii="Times New Roman" w:hAnsi="Times New Roman" w:eastAsia="宋体" w:cs="Times New Roman"/>
          <w:b/>
          <w:bCs/>
          <w:color w:val="auto"/>
          <w:kern w:val="2"/>
          <w:sz w:val="24"/>
          <w:szCs w:val="24"/>
          <w:highlight w:val="none"/>
          <w:lang w:val="en-US" w:eastAsia="zh-CN" w:bidi="ar"/>
        </w:rPr>
        <w:t xml:space="preserve"> </w:t>
      </w:r>
    </w:p>
    <w:p w14:paraId="2E6C9359">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5. </w:t>
      </w:r>
      <w:r>
        <w:rPr>
          <w:rFonts w:hint="eastAsia" w:ascii="宋体" w:hAnsi="宋体" w:eastAsia="宋体" w:cs="宋体"/>
          <w:color w:val="auto"/>
          <w:kern w:val="2"/>
          <w:sz w:val="24"/>
          <w:szCs w:val="24"/>
          <w:highlight w:val="none"/>
          <w:lang w:val="en-US" w:eastAsia="zh-CN" w:bidi="ar"/>
        </w:rPr>
        <w:t>我方在此声明，所递交的响应文件及有关资料内容完整、真实和准确，符合资格审查条件（最低要求），且符合第二章</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供应商须知</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规定。</w:t>
      </w:r>
    </w:p>
    <w:p w14:paraId="31808340">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19195694">
      <w:pPr>
        <w:keepNext w:val="0"/>
        <w:keepLines w:val="0"/>
        <w:widowControl w:val="0"/>
        <w:suppressLineNumbers w:val="0"/>
        <w:adjustRightInd w:val="0"/>
        <w:snapToGrid w:val="0"/>
        <w:spacing w:before="0" w:beforeAutospacing="0" w:after="0" w:afterAutospacing="0"/>
        <w:ind w:left="4496" w:leftChars="2141" w:right="0" w:firstLine="898" w:firstLineChars="321"/>
        <w:jc w:val="left"/>
        <w:rPr>
          <w:rFonts w:hint="default" w:ascii="Times New Roman" w:hAnsi="Times New Roman" w:eastAsia="宋体" w:cs="Times New Roman"/>
          <w:color w:val="auto"/>
          <w:kern w:val="2"/>
          <w:sz w:val="24"/>
          <w:szCs w:val="24"/>
          <w:highlight w:val="none"/>
        </w:rPr>
      </w:pPr>
      <w:r>
        <w:rPr>
          <w:rFonts w:hint="eastAsia" w:ascii="Times New Roman" w:hAnsi="Times New Roman" w:eastAsia="黑体" w:cs="Times New Roman"/>
          <w:color w:val="auto"/>
          <w:kern w:val="2"/>
          <w:sz w:val="28"/>
          <w:szCs w:val="28"/>
          <w:highlight w:val="none"/>
          <w:lang w:val="en-US" w:eastAsia="zh-CN" w:bidi="ar"/>
        </w:rPr>
        <w:t xml:space="preserve">                                </w:t>
      </w:r>
    </w:p>
    <w:p w14:paraId="71AD6C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响应人：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26BA1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2D889E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880" w:firstLineChars="2450"/>
        <w:jc w:val="both"/>
        <w:textAlignment w:val="auto"/>
        <w:rPr>
          <w:color w:val="auto"/>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8B65FD6">
      <w:pPr>
        <w:rPr>
          <w:rFonts w:hint="default" w:ascii="Times New Roman" w:hAnsi="Times New Roman" w:eastAsia="宋体" w:cs="Times New Roman"/>
          <w:color w:val="auto"/>
          <w:kern w:val="2"/>
          <w:sz w:val="24"/>
          <w:szCs w:val="24"/>
          <w:highlight w:val="none"/>
        </w:rPr>
        <w:sectPr>
          <w:pgSz w:w="11905" w:h="16838"/>
          <w:pgMar w:top="1134" w:right="1134" w:bottom="1134" w:left="1134" w:header="850" w:footer="992" w:gutter="0"/>
          <w:pgNumType w:fmt="decimal"/>
          <w:cols w:space="425" w:num="1"/>
          <w:docGrid w:type="lines" w:linePitch="312" w:charSpace="0"/>
        </w:sectPr>
      </w:pPr>
    </w:p>
    <w:p w14:paraId="5AA40B3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46" w:name="_Toc3055"/>
      <w:bookmarkStart w:id="147" w:name="_Toc10121"/>
      <w:bookmarkStart w:id="148" w:name="_Toc30427"/>
      <w:bookmarkStart w:id="149" w:name="_Toc10955"/>
      <w:bookmarkStart w:id="150" w:name="_Toc25215"/>
      <w:bookmarkStart w:id="151" w:name="_Toc2975"/>
      <w:r>
        <w:rPr>
          <w:rFonts w:hint="eastAsia" w:ascii="黑体" w:hAnsi="宋体" w:eastAsia="黑体" w:cs="黑体"/>
          <w:color w:val="auto"/>
          <w:kern w:val="2"/>
          <w:sz w:val="28"/>
          <w:szCs w:val="28"/>
          <w:highlight w:val="none"/>
          <w:lang w:val="en-US" w:eastAsia="zh-CN" w:bidi="ar"/>
        </w:rPr>
        <w:t>十一、其他材料</w:t>
      </w:r>
      <w:bookmarkEnd w:id="146"/>
      <w:bookmarkEnd w:id="147"/>
      <w:bookmarkEnd w:id="148"/>
      <w:bookmarkEnd w:id="149"/>
      <w:bookmarkEnd w:id="150"/>
      <w:bookmarkEnd w:id="151"/>
    </w:p>
    <w:p w14:paraId="1698877D">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606F688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1、响应保证金的银行凭证（电汇回单）复印件等。</w:t>
      </w:r>
    </w:p>
    <w:p w14:paraId="6F487B48">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8E782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840CDE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 </w:t>
      </w:r>
    </w:p>
    <w:p w14:paraId="11BA46A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F3E5A4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F3C4B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C0057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6AB5A7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08848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1F2B7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8167D5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23BEE1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95EB6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2B7118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A151D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46344C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F8D97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36F5FD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C7AB90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CEB3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7E99FC">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588BAC3">
      <w:pPr>
        <w:rPr>
          <w:rFonts w:ascii="Times New Roman" w:hAnsi="Times New Roman" w:cs="Times New Roman"/>
          <w:color w:val="auto"/>
          <w:sz w:val="24"/>
          <w:szCs w:val="28"/>
          <w:highlight w:val="none"/>
        </w:rPr>
      </w:pPr>
    </w:p>
    <w:p w14:paraId="2AAFFD7E">
      <w:pPr>
        <w:spacing w:line="400" w:lineRule="atLeast"/>
        <w:jc w:val="left"/>
        <w:rPr>
          <w:rFonts w:ascii="Times New Roman" w:hAnsi="Times New Roman" w:cs="Times New Roman"/>
          <w:color w:val="auto"/>
          <w:sz w:val="24"/>
          <w:szCs w:val="28"/>
          <w:highlight w:val="none"/>
        </w:rPr>
      </w:pPr>
    </w:p>
    <w:p w14:paraId="26618A24">
      <w:pPr>
        <w:spacing w:line="440" w:lineRule="exact"/>
        <w:jc w:val="center"/>
        <w:rPr>
          <w:rFonts w:hint="eastAsia" w:ascii="方正小标宋简体" w:hAnsi="方正小标宋简体" w:eastAsia="方正小标宋简体" w:cs="方正小标宋简体"/>
          <w:color w:val="auto"/>
          <w:sz w:val="44"/>
          <w:szCs w:val="44"/>
          <w:highlight w:val="none"/>
          <w:u w:val="single"/>
          <w:lang w:val="en-US" w:eastAsia="zh-CN"/>
        </w:rPr>
      </w:pPr>
    </w:p>
    <w:p w14:paraId="14CF78B8">
      <w:pPr>
        <w:jc w:val="center"/>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安徽交控集团2025年度服务区综合改造提升工程项目空气能设备采购及安装项目</w:t>
      </w:r>
    </w:p>
    <w:p w14:paraId="6C57ACC7">
      <w:pPr>
        <w:jc w:val="both"/>
        <w:outlineLvl w:val="9"/>
        <w:rPr>
          <w:rFonts w:ascii="Times New Roman" w:hAnsi="Times New Roman" w:eastAsia="黑体" w:cs="Times New Roman"/>
          <w:color w:val="auto"/>
          <w:sz w:val="50"/>
          <w:szCs w:val="50"/>
          <w:highlight w:val="none"/>
        </w:rPr>
      </w:pPr>
    </w:p>
    <w:p w14:paraId="23A6FE9B">
      <w:pPr>
        <w:jc w:val="both"/>
        <w:outlineLvl w:val="9"/>
        <w:rPr>
          <w:rFonts w:ascii="Times New Roman" w:hAnsi="Times New Roman" w:eastAsia="黑体" w:cs="Times New Roman"/>
          <w:color w:val="auto"/>
          <w:sz w:val="50"/>
          <w:szCs w:val="50"/>
          <w:highlight w:val="none"/>
        </w:rPr>
      </w:pPr>
    </w:p>
    <w:p w14:paraId="41F2A134">
      <w:pPr>
        <w:jc w:val="center"/>
        <w:outlineLvl w:val="0"/>
        <w:rPr>
          <w:rFonts w:ascii="Times New Roman" w:hAnsi="Times New Roman" w:eastAsia="黑体" w:cs="Times New Roman"/>
          <w:color w:val="auto"/>
          <w:sz w:val="50"/>
          <w:szCs w:val="50"/>
          <w:highlight w:val="none"/>
        </w:rPr>
      </w:pPr>
      <w:bookmarkStart w:id="152" w:name="_Toc4837"/>
      <w:bookmarkStart w:id="153" w:name="_Toc10029"/>
      <w:bookmarkStart w:id="154" w:name="_Toc2786"/>
      <w:bookmarkStart w:id="155" w:name="_Toc10608"/>
      <w:bookmarkStart w:id="156" w:name="_Toc28949"/>
      <w:bookmarkStart w:id="157" w:name="_Toc24813"/>
      <w:r>
        <w:rPr>
          <w:rFonts w:ascii="Times New Roman" w:hAnsi="Times New Roman" w:eastAsia="黑体" w:cs="Times New Roman"/>
          <w:color w:val="auto"/>
          <w:sz w:val="50"/>
          <w:szCs w:val="50"/>
          <w:highlight w:val="none"/>
        </w:rPr>
        <w:t>响  应  文  件</w:t>
      </w:r>
      <w:bookmarkEnd w:id="152"/>
      <w:bookmarkEnd w:id="153"/>
      <w:bookmarkEnd w:id="154"/>
      <w:bookmarkEnd w:id="155"/>
      <w:bookmarkEnd w:id="156"/>
      <w:bookmarkEnd w:id="157"/>
    </w:p>
    <w:p w14:paraId="7382D764">
      <w:pPr>
        <w:pStyle w:val="2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（报价文件）</w:t>
      </w:r>
    </w:p>
    <w:p w14:paraId="42FAF460">
      <w:pPr>
        <w:spacing w:line="440" w:lineRule="exact"/>
        <w:rPr>
          <w:rFonts w:ascii="Times New Roman" w:hAnsi="Times New Roman" w:eastAsia="黑体" w:cs="Times New Roman"/>
          <w:color w:val="auto"/>
          <w:sz w:val="32"/>
          <w:szCs w:val="32"/>
          <w:highlight w:val="none"/>
        </w:rPr>
      </w:pPr>
    </w:p>
    <w:p w14:paraId="32DAD549">
      <w:pPr>
        <w:spacing w:line="440" w:lineRule="exact"/>
        <w:rPr>
          <w:rFonts w:ascii="Times New Roman" w:hAnsi="Times New Roman" w:eastAsia="黑体" w:cs="Times New Roman"/>
          <w:color w:val="auto"/>
          <w:sz w:val="32"/>
          <w:szCs w:val="32"/>
          <w:highlight w:val="none"/>
        </w:rPr>
      </w:pPr>
    </w:p>
    <w:p w14:paraId="31CF9F8F">
      <w:pPr>
        <w:spacing w:line="440" w:lineRule="exact"/>
        <w:rPr>
          <w:rFonts w:ascii="Times New Roman" w:hAnsi="Times New Roman" w:eastAsia="黑体" w:cs="Times New Roman"/>
          <w:color w:val="auto"/>
          <w:sz w:val="20"/>
          <w:szCs w:val="20"/>
          <w:highlight w:val="none"/>
        </w:rPr>
      </w:pPr>
    </w:p>
    <w:p w14:paraId="219A8A2B">
      <w:pPr>
        <w:spacing w:line="440" w:lineRule="exact"/>
        <w:rPr>
          <w:rFonts w:ascii="Times New Roman" w:hAnsi="Times New Roman" w:eastAsia="黑体" w:cs="Times New Roman"/>
          <w:color w:val="auto"/>
          <w:sz w:val="20"/>
          <w:szCs w:val="20"/>
          <w:highlight w:val="none"/>
        </w:rPr>
      </w:pPr>
    </w:p>
    <w:p w14:paraId="161D3AFE">
      <w:pPr>
        <w:spacing w:line="440" w:lineRule="exact"/>
        <w:rPr>
          <w:rFonts w:ascii="Times New Roman" w:hAnsi="Times New Roman" w:eastAsia="黑体" w:cs="Times New Roman"/>
          <w:color w:val="auto"/>
          <w:sz w:val="20"/>
          <w:szCs w:val="20"/>
          <w:highlight w:val="none"/>
        </w:rPr>
      </w:pPr>
    </w:p>
    <w:p w14:paraId="67D4AE3B">
      <w:pPr>
        <w:spacing w:line="440" w:lineRule="exact"/>
        <w:rPr>
          <w:rFonts w:ascii="Times New Roman" w:hAnsi="Times New Roman" w:eastAsia="黑体" w:cs="Times New Roman"/>
          <w:color w:val="auto"/>
          <w:sz w:val="20"/>
          <w:szCs w:val="20"/>
          <w:highlight w:val="none"/>
        </w:rPr>
      </w:pPr>
    </w:p>
    <w:p w14:paraId="74A0F41C">
      <w:pPr>
        <w:spacing w:line="440" w:lineRule="exact"/>
        <w:rPr>
          <w:rFonts w:ascii="Times New Roman" w:hAnsi="Times New Roman" w:eastAsia="黑体" w:cs="Times New Roman"/>
          <w:color w:val="auto"/>
          <w:sz w:val="20"/>
          <w:szCs w:val="20"/>
          <w:highlight w:val="none"/>
        </w:rPr>
      </w:pPr>
    </w:p>
    <w:p w14:paraId="34EFD36E">
      <w:pPr>
        <w:pStyle w:val="20"/>
        <w:rPr>
          <w:rFonts w:ascii="Times New Roman" w:hAnsi="Times New Roman" w:eastAsia="黑体" w:cs="Times New Roman"/>
          <w:color w:val="auto"/>
          <w:sz w:val="20"/>
          <w:szCs w:val="20"/>
          <w:highlight w:val="none"/>
        </w:rPr>
      </w:pPr>
    </w:p>
    <w:p w14:paraId="0963F458">
      <w:pPr>
        <w:rPr>
          <w:rFonts w:ascii="Times New Roman" w:hAnsi="Times New Roman" w:eastAsia="黑体" w:cs="Times New Roman"/>
          <w:color w:val="auto"/>
          <w:sz w:val="20"/>
          <w:szCs w:val="20"/>
          <w:highlight w:val="none"/>
        </w:rPr>
      </w:pPr>
    </w:p>
    <w:p w14:paraId="53B739CA">
      <w:pPr>
        <w:pStyle w:val="20"/>
        <w:rPr>
          <w:rFonts w:ascii="Times New Roman" w:hAnsi="Times New Roman" w:eastAsia="黑体" w:cs="Times New Roman"/>
          <w:color w:val="auto"/>
          <w:sz w:val="20"/>
          <w:szCs w:val="20"/>
          <w:highlight w:val="none"/>
        </w:rPr>
      </w:pPr>
    </w:p>
    <w:p w14:paraId="3719D7B2">
      <w:pPr>
        <w:rPr>
          <w:rFonts w:ascii="Times New Roman" w:hAnsi="Times New Roman" w:eastAsia="黑体" w:cs="Times New Roman"/>
          <w:color w:val="auto"/>
          <w:sz w:val="20"/>
          <w:szCs w:val="20"/>
          <w:highlight w:val="none"/>
        </w:rPr>
      </w:pPr>
    </w:p>
    <w:p w14:paraId="2CF8BE4D">
      <w:pPr>
        <w:spacing w:line="440" w:lineRule="exact"/>
        <w:rPr>
          <w:rFonts w:ascii="Times New Roman" w:hAnsi="Times New Roman" w:eastAsia="黑体" w:cs="Times New Roman"/>
          <w:color w:val="auto"/>
          <w:sz w:val="20"/>
          <w:szCs w:val="20"/>
          <w:highlight w:val="none"/>
        </w:rPr>
      </w:pPr>
    </w:p>
    <w:p w14:paraId="57458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u w:val="none"/>
        </w:rPr>
        <w:t>(全称、盖单位</w:t>
      </w:r>
      <w:r>
        <w:rPr>
          <w:rFonts w:hint="eastAsia" w:ascii="Times New Roman" w:hAnsi="Times New Roman" w:eastAsia="黑体" w:cs="Times New Roman"/>
          <w:color w:val="auto"/>
          <w:sz w:val="28"/>
          <w:szCs w:val="28"/>
          <w:highlight w:val="none"/>
          <w:u w:val="none"/>
          <w:lang w:val="en-US" w:eastAsia="zh-CN"/>
        </w:rPr>
        <w:t>公</w:t>
      </w:r>
      <w:r>
        <w:rPr>
          <w:rFonts w:ascii="Times New Roman" w:hAnsi="Times New Roman" w:eastAsia="黑体" w:cs="Times New Roman"/>
          <w:color w:val="auto"/>
          <w:sz w:val="28"/>
          <w:szCs w:val="28"/>
          <w:highlight w:val="none"/>
          <w:u w:val="none"/>
        </w:rPr>
        <w:t xml:space="preserve">章)     </w:t>
      </w:r>
    </w:p>
    <w:p w14:paraId="1B4BA2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p>
    <w:p w14:paraId="17D09FA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p>
    <w:p w14:paraId="42E13069">
      <w:pPr>
        <w:adjustRightInd w:val="0"/>
        <w:snapToGrid w:val="0"/>
        <w:rPr>
          <w:rFonts w:ascii="Times New Roman" w:hAnsi="Times New Roman" w:eastAsia="黑体" w:cs="Times New Roman"/>
          <w:color w:val="auto"/>
          <w:sz w:val="20"/>
          <w:szCs w:val="20"/>
          <w:highlight w:val="none"/>
        </w:rPr>
      </w:pPr>
    </w:p>
    <w:p w14:paraId="6EF7835A">
      <w:pPr>
        <w:adjustRightInd w:val="0"/>
        <w:snapToGrid w:val="0"/>
        <w:jc w:val="center"/>
        <w:outlineLvl w:val="1"/>
        <w:rPr>
          <w:rFonts w:hint="eastAsia" w:ascii="黑体" w:hAnsi="黑体" w:eastAsia="黑体" w:cs="黑体"/>
          <w:b w:val="0"/>
          <w:bCs/>
          <w:color w:val="auto"/>
          <w:sz w:val="28"/>
          <w:szCs w:val="28"/>
          <w:highlight w:val="none"/>
          <w:lang w:eastAsia="zh-CN"/>
        </w:rPr>
      </w:pPr>
      <w:bookmarkStart w:id="158" w:name="_Toc1687_WPSOffice_Level1"/>
      <w:bookmarkStart w:id="159" w:name="_Toc11805_WPSOffice_Level1"/>
      <w:bookmarkStart w:id="160" w:name="_Toc29968"/>
      <w:bookmarkStart w:id="161" w:name="_Toc2765_WPSOffice_Level1"/>
      <w:bookmarkStart w:id="162" w:name="_Toc8703"/>
      <w:bookmarkStart w:id="163" w:name="_Toc23583"/>
      <w:bookmarkStart w:id="164" w:name="_Toc18312_WPSOffice_Level1"/>
      <w:bookmarkStart w:id="165" w:name="_Toc29399_WPSOffice_Level1"/>
      <w:bookmarkStart w:id="166" w:name="_Toc24269_WPSOffice_Level1"/>
      <w:bookmarkStart w:id="167" w:name="_Toc30031_WPSOffice_Level1"/>
      <w:bookmarkStart w:id="168" w:name="_Toc1924"/>
      <w:bookmarkStart w:id="169" w:name="_Toc15092"/>
      <w:r>
        <w:rPr>
          <w:rFonts w:hint="eastAsia" w:ascii="黑体" w:hAnsi="黑体" w:eastAsia="黑体" w:cs="黑体"/>
          <w:b w:val="0"/>
          <w:bCs/>
          <w:color w:val="auto"/>
          <w:sz w:val="28"/>
          <w:szCs w:val="28"/>
          <w:highlight w:val="none"/>
        </w:rPr>
        <w:t>一、</w:t>
      </w:r>
      <w:bookmarkEnd w:id="158"/>
      <w:bookmarkEnd w:id="159"/>
      <w:bookmarkEnd w:id="160"/>
      <w:bookmarkEnd w:id="161"/>
      <w:bookmarkEnd w:id="162"/>
      <w:bookmarkEnd w:id="163"/>
      <w:bookmarkEnd w:id="164"/>
      <w:bookmarkEnd w:id="165"/>
      <w:bookmarkEnd w:id="166"/>
      <w:bookmarkEnd w:id="167"/>
      <w:bookmarkEnd w:id="168"/>
      <w:bookmarkEnd w:id="169"/>
      <w:r>
        <w:rPr>
          <w:rFonts w:hint="eastAsia" w:ascii="黑体" w:hAnsi="黑体" w:eastAsia="黑体" w:cs="黑体"/>
          <w:b w:val="0"/>
          <w:bCs/>
          <w:color w:val="auto"/>
          <w:sz w:val="28"/>
          <w:szCs w:val="28"/>
          <w:highlight w:val="none"/>
          <w:lang w:eastAsia="zh-CN"/>
        </w:rPr>
        <w:t>响应函</w:t>
      </w:r>
    </w:p>
    <w:p w14:paraId="2D9C7FD0">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r>
        <w:rPr>
          <w:rFonts w:ascii="Times New Roman" w:hAnsi="Times New Roman" w:cs="Times New Roman"/>
          <w:color w:val="auto"/>
          <w:sz w:val="24"/>
          <w:highlight w:val="none"/>
        </w:rPr>
        <w:t>(采购人名称)：</w:t>
      </w:r>
    </w:p>
    <w:p w14:paraId="1D13F3E4">
      <w:pPr>
        <w:pStyle w:val="8"/>
        <w:rPr>
          <w:color w:val="auto"/>
          <w:highlight w:val="none"/>
        </w:rPr>
      </w:pPr>
    </w:p>
    <w:p w14:paraId="0E5946D8">
      <w:pPr>
        <w:keepNext w:val="0"/>
        <w:keepLines w:val="0"/>
        <w:widowControl/>
        <w:suppressLineNumbers w:val="0"/>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hint="eastAsia" w:ascii="Times New Roman" w:hAnsi="Times New Roman" w:cs="Times New Roman"/>
          <w:color w:val="auto"/>
          <w:sz w:val="24"/>
          <w:highlight w:val="none"/>
          <w:u w:val="single"/>
          <w:lang w:eastAsia="zh-CN"/>
        </w:rPr>
        <w:t>安徽交控集团2025年度服务区综合改造提升工程项目空气能设备采购及安装项目</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的全部内容（包括工程量清单和施工图纸及</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中所述的各种因素），愿意以</w:t>
      </w:r>
      <w:r>
        <w:rPr>
          <w:rFonts w:hint="eastAsia" w:ascii="Times New Roman" w:hAnsi="Times New Roman" w:cs="Times New Roman"/>
          <w:color w:val="auto"/>
          <w:sz w:val="24"/>
          <w:highlight w:val="none"/>
          <w:lang w:val="en-US" w:eastAsia="zh-CN"/>
        </w:rPr>
        <w:t>人民币（大写）</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）的</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总报价</w:t>
      </w:r>
      <w:r>
        <w:rPr>
          <w:rFonts w:hint="eastAsia" w:ascii="Times New Roman" w:hAnsi="Times New Roman" w:cs="Times New Roman"/>
          <w:color w:val="auto"/>
          <w:sz w:val="24"/>
          <w:highlight w:val="none"/>
          <w:lang w:eastAsia="zh-CN"/>
        </w:rPr>
        <w:t>提供采购</w:t>
      </w:r>
      <w:r>
        <w:rPr>
          <w:rFonts w:hint="eastAsia" w:ascii="Times New Roman" w:hAnsi="Times New Roman" w:cs="Times New Roman"/>
          <w:color w:val="auto"/>
          <w:sz w:val="24"/>
          <w:highlight w:val="none"/>
          <w:lang w:val="en-US" w:eastAsia="zh-CN"/>
        </w:rPr>
        <w:t>文件标明的货物</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技术服务和质保期服务</w:t>
      </w:r>
      <w:r>
        <w:rPr>
          <w:rFonts w:hint="eastAsia" w:ascii="Times New Roman" w:hAnsi="Times New Roman" w:cs="Times New Roman"/>
          <w:color w:val="auto"/>
          <w:sz w:val="24"/>
          <w:highlight w:val="none"/>
        </w:rPr>
        <w:t>措施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并</w:t>
      </w:r>
      <w:r>
        <w:rPr>
          <w:rFonts w:ascii="Times New Roman" w:hAnsi="Times New Roman" w:cs="Times New Roman"/>
          <w:color w:val="auto"/>
          <w:sz w:val="24"/>
          <w:highlight w:val="none"/>
        </w:rPr>
        <w:t>按合同约定履行义务。</w:t>
      </w:r>
    </w:p>
    <w:p w14:paraId="488C006B">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14:paraId="70DCFE48">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3．如我方成交：</w:t>
      </w:r>
    </w:p>
    <w:p w14:paraId="30729633">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(1)我方承诺在收到成交通知书后，在成交通知书规定的期限内与你方签订合同。</w:t>
      </w:r>
    </w:p>
    <w:p w14:paraId="73F15D1E">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(2)我方承诺按照</w:t>
      </w:r>
      <w:r>
        <w:rPr>
          <w:rFonts w:hint="eastAsia" w:ascii="Times New Roman" w:hAnsi="Times New Roman" w:cs="Times New Roman"/>
          <w:color w:val="auto"/>
          <w:sz w:val="24"/>
          <w:highlight w:val="none"/>
          <w:lang w:eastAsia="zh-CN"/>
        </w:rPr>
        <w:t>采购</w:t>
      </w:r>
      <w:r>
        <w:rPr>
          <w:rFonts w:ascii="Times New Roman" w:hAnsi="Times New Roman" w:cs="Times New Roman"/>
          <w:color w:val="auto"/>
          <w:sz w:val="24"/>
          <w:highlight w:val="none"/>
        </w:rPr>
        <w:t>文件规定向你方递交履约担保。</w:t>
      </w:r>
    </w:p>
    <w:p w14:paraId="233214A1">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(3)我方承诺在合同约定的期限内完成全部合同任务。</w:t>
      </w:r>
    </w:p>
    <w:p w14:paraId="5B53326A">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．我方在此声明，所递交的响应文件及有关资料内容完整、真实和准确。</w:t>
      </w:r>
    </w:p>
    <w:p w14:paraId="4461E0DB">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．在合同协议书正式签署生效之前，本</w:t>
      </w:r>
      <w:r>
        <w:rPr>
          <w:rFonts w:hint="eastAsia" w:ascii="Times New Roman" w:hAnsi="Times New Roman" w:cs="Times New Roman"/>
          <w:color w:val="auto"/>
          <w:sz w:val="24"/>
          <w:highlight w:val="none"/>
          <w:lang w:eastAsia="zh-CN"/>
        </w:rPr>
        <w:t>响应函</w:t>
      </w:r>
      <w:r>
        <w:rPr>
          <w:rFonts w:ascii="Times New Roman" w:hAnsi="Times New Roman" w:cs="Times New Roman"/>
          <w:color w:val="auto"/>
          <w:sz w:val="24"/>
          <w:highlight w:val="none"/>
        </w:rPr>
        <w:t>连同你方的成交通知书将构成我们双方之间共同遵守的文件，对双方具有约束力。</w:t>
      </w:r>
    </w:p>
    <w:p w14:paraId="0CE3C601">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我方已按</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文件要求详细审核并确认全部</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文件及有关附件，充分理解</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价格不得低于企业个别成本有关规定。我方经成本核算，所填报的响应报价不低于企业个别成本。</w:t>
      </w:r>
    </w:p>
    <w:p w14:paraId="5490F3B5">
      <w:pPr>
        <w:spacing w:line="400" w:lineRule="exact"/>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rPr>
        <w:t>.____/____（其他补充说明）。</w:t>
      </w:r>
    </w:p>
    <w:p w14:paraId="2AA67BE1">
      <w:pPr>
        <w:pStyle w:val="8"/>
        <w:rPr>
          <w:rFonts w:hint="eastAsia" w:ascii="Times New Roman" w:hAnsi="Times New Roman" w:cs="Times New Roman"/>
          <w:color w:val="auto"/>
          <w:sz w:val="24"/>
          <w:highlight w:val="none"/>
        </w:rPr>
      </w:pPr>
    </w:p>
    <w:p w14:paraId="2564B337">
      <w:pPr>
        <w:pStyle w:val="33"/>
        <w:rPr>
          <w:rFonts w:hint="eastAsia"/>
          <w:color w:val="auto"/>
          <w:highlight w:val="none"/>
        </w:rPr>
      </w:pPr>
    </w:p>
    <w:p w14:paraId="22CEF1E1">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w:t>
      </w:r>
      <w:r>
        <w:rPr>
          <w:rFonts w:hint="eastAsia" w:ascii="Times New Roman" w:hAnsi="Times New Roman" w:cs="Times New Roman"/>
          <w:color w:val="auto"/>
          <w:sz w:val="24"/>
          <w:highlight w:val="none"/>
          <w:lang w:val="en-US" w:eastAsia="zh-CN"/>
        </w:rPr>
        <w:t>公</w:t>
      </w:r>
      <w:r>
        <w:rPr>
          <w:rFonts w:ascii="Times New Roman" w:hAnsi="Times New Roman" w:cs="Times New Roman"/>
          <w:color w:val="auto"/>
          <w:sz w:val="24"/>
          <w:highlight w:val="none"/>
        </w:rPr>
        <w:t>章)</w:t>
      </w:r>
    </w:p>
    <w:p w14:paraId="50E71AAE">
      <w:pPr>
        <w:spacing w:line="400" w:lineRule="exact"/>
        <w:ind w:firstLine="3360" w:firstLineChars="1400"/>
        <w:rPr>
          <w:rFonts w:hint="eastAsia" w:ascii="Times New Roman" w:hAnsi="Times New Roman" w:cs="Times New Roman" w:eastAsiaTheme="minorEastAsia"/>
          <w:color w:val="auto"/>
          <w:sz w:val="24"/>
          <w:highlight w:val="none"/>
          <w:lang w:eastAsia="zh-CN"/>
        </w:rPr>
      </w:pPr>
      <w:r>
        <w:rPr>
          <w:rFonts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eastAsia="zh-CN"/>
        </w:rPr>
        <w:t>或</w:t>
      </w:r>
      <w:r>
        <w:rPr>
          <w:rFonts w:hint="eastAsia" w:ascii="Times New Roman" w:hAnsi="Times New Roman" w:cs="Times New Roman"/>
          <w:color w:val="auto"/>
          <w:sz w:val="24"/>
          <w:highlight w:val="none"/>
        </w:rPr>
        <w:t>委托代理人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字</w:t>
      </w:r>
      <w:r>
        <w:rPr>
          <w:rFonts w:ascii="Times New Roman" w:hAnsi="Times New Roman" w:cs="Times New Roman"/>
          <w:color w:val="auto"/>
          <w:sz w:val="24"/>
          <w:highlight w:val="none"/>
        </w:rPr>
        <w:t>)</w:t>
      </w:r>
    </w:p>
    <w:p w14:paraId="6D7D89D2">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14:paraId="4B7CD6B4">
      <w:pPr>
        <w:spacing w:line="400" w:lineRule="exact"/>
        <w:ind w:firstLine="3420" w:firstLineChars="1425"/>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电子邮箱</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p>
    <w:p w14:paraId="45C12650">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14:paraId="3E1F27ED">
      <w:pPr>
        <w:spacing w:line="400" w:lineRule="exact"/>
        <w:ind w:firstLine="4740" w:firstLineChars="1975"/>
        <w:rPr>
          <w:rFonts w:ascii="Times New Roman" w:hAnsi="Times New Roman" w:cs="Times New Roman"/>
          <w:color w:val="auto"/>
          <w:sz w:val="24"/>
          <w:highlight w:val="none"/>
        </w:rPr>
      </w:pPr>
    </w:p>
    <w:p w14:paraId="0EED3B31">
      <w:pPr>
        <w:pStyle w:val="20"/>
        <w:rPr>
          <w:rFonts w:ascii="Times New Roman" w:hAnsi="Times New Roman" w:cs="Times New Roman"/>
          <w:color w:val="auto"/>
          <w:sz w:val="24"/>
          <w:highlight w:val="none"/>
        </w:rPr>
      </w:pPr>
    </w:p>
    <w:p w14:paraId="530B1E63">
      <w:pPr>
        <w:rPr>
          <w:rFonts w:ascii="Times New Roman" w:hAnsi="Times New Roman" w:cs="Times New Roman"/>
          <w:color w:val="auto"/>
          <w:sz w:val="24"/>
          <w:highlight w:val="none"/>
        </w:rPr>
      </w:pPr>
    </w:p>
    <w:p w14:paraId="4DE51CCD">
      <w:pPr>
        <w:pStyle w:val="8"/>
        <w:rPr>
          <w:color w:val="auto"/>
          <w:highlight w:val="none"/>
        </w:rPr>
      </w:pPr>
    </w:p>
    <w:p w14:paraId="6E6071E0">
      <w:pPr>
        <w:rPr>
          <w:color w:val="auto"/>
          <w:highlight w:val="none"/>
        </w:rPr>
      </w:pPr>
    </w:p>
    <w:p w14:paraId="038932C6">
      <w:pPr>
        <w:rPr>
          <w:color w:val="auto"/>
          <w:highlight w:val="none"/>
        </w:rPr>
      </w:pPr>
    </w:p>
    <w:p w14:paraId="2AF58674">
      <w:pPr>
        <w:rPr>
          <w:color w:val="auto"/>
          <w:highlight w:val="none"/>
        </w:rPr>
      </w:pPr>
    </w:p>
    <w:p w14:paraId="32C8775A">
      <w:pPr>
        <w:pStyle w:val="9"/>
        <w:rPr>
          <w:color w:val="auto"/>
          <w:highlight w:val="none"/>
        </w:rPr>
      </w:pPr>
    </w:p>
    <w:p w14:paraId="3659ED9B">
      <w:pPr>
        <w:pStyle w:val="20"/>
        <w:rPr>
          <w:rFonts w:ascii="Times New Roman" w:hAnsi="Times New Roman" w:cs="Times New Roman"/>
          <w:color w:val="auto"/>
          <w:sz w:val="24"/>
          <w:highlight w:val="none"/>
        </w:rPr>
      </w:pPr>
    </w:p>
    <w:p w14:paraId="0B9FD6BB">
      <w:pPr>
        <w:adjustRightInd w:val="0"/>
        <w:snapToGrid w:val="0"/>
        <w:jc w:val="center"/>
        <w:outlineLvl w:val="1"/>
        <w:rPr>
          <w:rFonts w:hint="eastAsia" w:ascii="黑体" w:hAnsi="黑体" w:eastAsia="黑体" w:cs="黑体"/>
          <w:b w:val="0"/>
          <w:bCs/>
          <w:color w:val="auto"/>
          <w:sz w:val="28"/>
          <w:szCs w:val="28"/>
          <w:highlight w:val="none"/>
        </w:rPr>
      </w:pPr>
      <w:bookmarkStart w:id="170" w:name="_Toc162490440"/>
      <w:bookmarkStart w:id="171" w:name="_Toc153421230"/>
      <w:bookmarkStart w:id="172" w:name="_Toc272486050"/>
      <w:r>
        <w:rPr>
          <w:rFonts w:hint="eastAsia" w:ascii="黑体" w:hAnsi="黑体" w:eastAsia="黑体" w:cs="黑体"/>
          <w:b w:val="0"/>
          <w:bCs/>
          <w:color w:val="auto"/>
          <w:sz w:val="28"/>
          <w:szCs w:val="28"/>
          <w:highlight w:val="none"/>
        </w:rPr>
        <w:t>二、</w:t>
      </w:r>
      <w:bookmarkEnd w:id="170"/>
      <w:bookmarkEnd w:id="171"/>
      <w:bookmarkEnd w:id="172"/>
      <w:r>
        <w:rPr>
          <w:rFonts w:hint="eastAsia" w:ascii="黑体" w:hAnsi="黑体" w:eastAsia="黑体" w:cs="黑体"/>
          <w:b w:val="0"/>
          <w:bCs/>
          <w:color w:val="auto"/>
          <w:sz w:val="28"/>
          <w:szCs w:val="28"/>
          <w:highlight w:val="none"/>
        </w:rPr>
        <w:t>已标价的报价清单</w:t>
      </w:r>
    </w:p>
    <w:p w14:paraId="6336C83D">
      <w:pPr>
        <w:spacing w:line="440" w:lineRule="exact"/>
        <w:rPr>
          <w:rFonts w:ascii="Times New Roman" w:hAnsi="Times New Roman" w:eastAsia="黑体" w:cs="Times New Roman"/>
          <w:color w:val="auto"/>
          <w:sz w:val="24"/>
          <w:highlight w:val="none"/>
        </w:rPr>
      </w:pPr>
    </w:p>
    <w:p w14:paraId="3601D92B">
      <w:pPr>
        <w:spacing w:line="440" w:lineRule="exact"/>
        <w:rPr>
          <w:rFonts w:ascii="Times New Roman" w:hAnsi="Times New Roman" w:eastAsia="黑体" w:cs="Times New Roman"/>
          <w:color w:val="auto"/>
          <w:sz w:val="24"/>
          <w:highlight w:val="none"/>
        </w:rPr>
      </w:pPr>
    </w:p>
    <w:p w14:paraId="38DB0F0C">
      <w:pPr>
        <w:bidi w:val="0"/>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6167DF29">
      <w:pPr>
        <w:bidi w:val="0"/>
        <w:rPr>
          <w:rFonts w:hint="eastAsia" w:ascii="Times New Roman" w:hAnsi="Times New Roman" w:eastAsia="黑体" w:cs="Times New Roman"/>
          <w:color w:val="auto"/>
          <w:sz w:val="24"/>
          <w:highlight w:val="yellow"/>
          <w:lang w:val="en-US" w:eastAsia="zh-CN"/>
        </w:rPr>
      </w:pPr>
    </w:p>
    <w:p w14:paraId="001C9084">
      <w:pPr>
        <w:bidi w:val="0"/>
        <w:rPr>
          <w:rFonts w:hint="eastAsia" w:ascii="Times New Roman" w:hAnsi="Times New Roman" w:eastAsia="黑体" w:cs="Times New Roman"/>
          <w:color w:val="auto"/>
          <w:sz w:val="24"/>
          <w:highlight w:val="yellow"/>
          <w:lang w:val="en-US" w:eastAsia="zh-CN"/>
        </w:rPr>
      </w:pPr>
    </w:p>
    <w:p w14:paraId="4ADEDE55">
      <w:pPr>
        <w:bidi w:val="0"/>
        <w:rPr>
          <w:rFonts w:hint="eastAsia" w:ascii="Times New Roman" w:hAnsi="Times New Roman" w:eastAsia="黑体" w:cs="Times New Roman"/>
          <w:color w:val="auto"/>
          <w:sz w:val="24"/>
          <w:highlight w:val="yellow"/>
          <w:lang w:val="en-US" w:eastAsia="zh-CN"/>
        </w:rPr>
      </w:pPr>
    </w:p>
    <w:p w14:paraId="417CB128">
      <w:pPr>
        <w:bidi w:val="0"/>
        <w:rPr>
          <w:rFonts w:hint="eastAsia" w:ascii="Times New Roman" w:hAnsi="Times New Roman" w:eastAsia="黑体" w:cs="Times New Roman"/>
          <w:color w:val="auto"/>
          <w:sz w:val="24"/>
          <w:highlight w:val="yellow"/>
          <w:lang w:val="en-US" w:eastAsia="zh-CN"/>
        </w:rPr>
      </w:pPr>
    </w:p>
    <w:p w14:paraId="3259370D">
      <w:pPr>
        <w:bidi w:val="0"/>
        <w:rPr>
          <w:rFonts w:hint="eastAsia" w:ascii="Times New Roman" w:hAnsi="Times New Roman" w:eastAsia="黑体" w:cs="Times New Roman"/>
          <w:color w:val="auto"/>
          <w:sz w:val="24"/>
          <w:highlight w:val="yellow"/>
          <w:lang w:val="en-US" w:eastAsia="zh-CN"/>
        </w:rPr>
      </w:pPr>
    </w:p>
    <w:p w14:paraId="57FB9718">
      <w:pPr>
        <w:bidi w:val="0"/>
        <w:rPr>
          <w:rFonts w:hint="eastAsia" w:ascii="Times New Roman" w:hAnsi="Times New Roman" w:eastAsia="黑体" w:cs="Times New Roman"/>
          <w:color w:val="auto"/>
          <w:sz w:val="24"/>
          <w:highlight w:val="yellow"/>
          <w:lang w:val="en-US" w:eastAsia="zh-CN"/>
        </w:rPr>
      </w:pPr>
    </w:p>
    <w:p w14:paraId="41AE9BAD">
      <w:pPr>
        <w:bidi w:val="0"/>
        <w:rPr>
          <w:rFonts w:hint="eastAsia" w:ascii="Times New Roman" w:hAnsi="Times New Roman" w:eastAsia="黑体" w:cs="Times New Roman"/>
          <w:color w:val="auto"/>
          <w:sz w:val="24"/>
          <w:highlight w:val="yellow"/>
          <w:lang w:val="en-US" w:eastAsia="zh-CN"/>
        </w:rPr>
      </w:pPr>
    </w:p>
    <w:p w14:paraId="55E7578A">
      <w:pPr>
        <w:bidi w:val="0"/>
        <w:rPr>
          <w:rFonts w:hint="eastAsia" w:ascii="Times New Roman" w:hAnsi="Times New Roman" w:eastAsia="黑体" w:cs="Times New Roman"/>
          <w:color w:val="auto"/>
          <w:sz w:val="24"/>
          <w:highlight w:val="yellow"/>
          <w:lang w:val="en-US" w:eastAsia="zh-CN"/>
        </w:rPr>
      </w:pPr>
    </w:p>
    <w:p w14:paraId="62ABFC2B">
      <w:pPr>
        <w:bidi w:val="0"/>
        <w:rPr>
          <w:rFonts w:hint="eastAsia" w:ascii="Times New Roman" w:hAnsi="Times New Roman" w:eastAsia="黑体" w:cs="Times New Roman"/>
          <w:color w:val="auto"/>
          <w:sz w:val="24"/>
          <w:highlight w:val="yellow"/>
          <w:lang w:val="en-US" w:eastAsia="zh-CN"/>
        </w:rPr>
      </w:pPr>
    </w:p>
    <w:p w14:paraId="630DA9A8">
      <w:pPr>
        <w:bidi w:val="0"/>
        <w:rPr>
          <w:rFonts w:hint="eastAsia" w:ascii="Times New Roman" w:hAnsi="Times New Roman" w:eastAsia="黑体" w:cs="Times New Roman"/>
          <w:color w:val="auto"/>
          <w:sz w:val="24"/>
          <w:highlight w:val="yellow"/>
          <w:lang w:val="en-US" w:eastAsia="zh-CN"/>
        </w:rPr>
      </w:pPr>
    </w:p>
    <w:p w14:paraId="627AB260">
      <w:pPr>
        <w:bidi w:val="0"/>
        <w:rPr>
          <w:rFonts w:hint="eastAsia" w:ascii="Times New Roman" w:hAnsi="Times New Roman" w:eastAsia="黑体" w:cs="Times New Roman"/>
          <w:color w:val="auto"/>
          <w:sz w:val="24"/>
          <w:highlight w:val="yellow"/>
          <w:lang w:val="en-US" w:eastAsia="zh-CN"/>
        </w:rPr>
      </w:pPr>
    </w:p>
    <w:p w14:paraId="67A8CD68">
      <w:pPr>
        <w:bidi w:val="0"/>
        <w:rPr>
          <w:rFonts w:hint="eastAsia" w:ascii="Times New Roman" w:hAnsi="Times New Roman" w:eastAsia="黑体" w:cs="Times New Roman"/>
          <w:color w:val="auto"/>
          <w:sz w:val="24"/>
          <w:highlight w:val="yellow"/>
          <w:lang w:val="en-US" w:eastAsia="zh-CN"/>
        </w:rPr>
      </w:pPr>
    </w:p>
    <w:p w14:paraId="4B092C77">
      <w:pPr>
        <w:bidi w:val="0"/>
        <w:rPr>
          <w:rFonts w:hint="eastAsia" w:ascii="Times New Roman" w:hAnsi="Times New Roman" w:eastAsia="黑体" w:cs="Times New Roman"/>
          <w:color w:val="auto"/>
          <w:sz w:val="24"/>
          <w:highlight w:val="yellow"/>
          <w:lang w:val="en-US" w:eastAsia="zh-CN"/>
        </w:rPr>
      </w:pPr>
    </w:p>
    <w:p w14:paraId="0FFC77CE">
      <w:pPr>
        <w:bidi w:val="0"/>
        <w:rPr>
          <w:rFonts w:hint="eastAsia" w:ascii="Times New Roman" w:hAnsi="Times New Roman" w:eastAsia="黑体" w:cs="Times New Roman"/>
          <w:color w:val="auto"/>
          <w:sz w:val="24"/>
          <w:highlight w:val="yellow"/>
          <w:lang w:val="en-US" w:eastAsia="zh-CN"/>
        </w:rPr>
      </w:pPr>
    </w:p>
    <w:p w14:paraId="020F4018">
      <w:pPr>
        <w:bidi w:val="0"/>
        <w:rPr>
          <w:rFonts w:hint="eastAsia" w:ascii="Times New Roman" w:hAnsi="Times New Roman" w:eastAsia="黑体" w:cs="Times New Roman"/>
          <w:color w:val="auto"/>
          <w:sz w:val="24"/>
          <w:highlight w:val="yellow"/>
          <w:lang w:val="en-US" w:eastAsia="zh-CN"/>
        </w:rPr>
      </w:pPr>
    </w:p>
    <w:p w14:paraId="176FAC70">
      <w:pPr>
        <w:bidi w:val="0"/>
        <w:rPr>
          <w:rFonts w:hint="eastAsia" w:ascii="Times New Roman" w:hAnsi="Times New Roman" w:eastAsia="黑体" w:cs="Times New Roman"/>
          <w:color w:val="auto"/>
          <w:sz w:val="24"/>
          <w:highlight w:val="yellow"/>
          <w:lang w:val="en-US" w:eastAsia="zh-CN"/>
        </w:rPr>
      </w:pPr>
    </w:p>
    <w:p w14:paraId="362C1DBB">
      <w:pPr>
        <w:bidi w:val="0"/>
        <w:rPr>
          <w:rFonts w:hint="eastAsia" w:ascii="Times New Roman" w:hAnsi="Times New Roman" w:eastAsia="黑体" w:cs="Times New Roman"/>
          <w:color w:val="auto"/>
          <w:sz w:val="24"/>
          <w:highlight w:val="yellow"/>
          <w:lang w:val="en-US" w:eastAsia="zh-CN"/>
        </w:rPr>
      </w:pPr>
    </w:p>
    <w:p w14:paraId="247F55D1">
      <w:pPr>
        <w:bidi w:val="0"/>
        <w:rPr>
          <w:rFonts w:hint="eastAsia" w:ascii="Times New Roman" w:hAnsi="Times New Roman" w:eastAsia="黑体" w:cs="Times New Roman"/>
          <w:color w:val="auto"/>
          <w:sz w:val="24"/>
          <w:highlight w:val="yellow"/>
          <w:lang w:val="en-US" w:eastAsia="zh-CN"/>
        </w:rPr>
      </w:pPr>
    </w:p>
    <w:p w14:paraId="16DE5610">
      <w:pPr>
        <w:bidi w:val="0"/>
        <w:rPr>
          <w:rFonts w:hint="eastAsia" w:ascii="Times New Roman" w:hAnsi="Times New Roman" w:eastAsia="黑体" w:cs="Times New Roman"/>
          <w:color w:val="auto"/>
          <w:sz w:val="24"/>
          <w:highlight w:val="yellow"/>
          <w:lang w:val="en-US" w:eastAsia="zh-CN"/>
        </w:rPr>
      </w:pPr>
    </w:p>
    <w:p w14:paraId="080E8F1D">
      <w:pPr>
        <w:bidi w:val="0"/>
        <w:rPr>
          <w:rFonts w:hint="eastAsia" w:ascii="Times New Roman" w:hAnsi="Times New Roman" w:eastAsia="黑体" w:cs="Times New Roman"/>
          <w:color w:val="auto"/>
          <w:sz w:val="24"/>
          <w:highlight w:val="yellow"/>
          <w:lang w:val="en-US" w:eastAsia="zh-CN"/>
        </w:rPr>
      </w:pPr>
    </w:p>
    <w:p w14:paraId="09C69505">
      <w:pPr>
        <w:bidi w:val="0"/>
        <w:rPr>
          <w:rFonts w:hint="eastAsia" w:ascii="Times New Roman" w:hAnsi="Times New Roman" w:eastAsia="黑体" w:cs="Times New Roman"/>
          <w:color w:val="auto"/>
          <w:sz w:val="24"/>
          <w:highlight w:val="yellow"/>
          <w:lang w:val="en-US" w:eastAsia="zh-CN"/>
        </w:rPr>
      </w:pPr>
    </w:p>
    <w:p w14:paraId="721FFC8A">
      <w:pPr>
        <w:bidi w:val="0"/>
        <w:rPr>
          <w:rFonts w:hint="eastAsia" w:ascii="Times New Roman" w:hAnsi="Times New Roman" w:eastAsia="黑体" w:cs="Times New Roman"/>
          <w:color w:val="auto"/>
          <w:sz w:val="24"/>
          <w:highlight w:val="yellow"/>
          <w:lang w:val="en-US" w:eastAsia="zh-CN"/>
        </w:rPr>
      </w:pPr>
    </w:p>
    <w:p w14:paraId="138F5558">
      <w:pPr>
        <w:bidi w:val="0"/>
        <w:rPr>
          <w:rFonts w:hint="eastAsia" w:ascii="Times New Roman" w:hAnsi="Times New Roman" w:eastAsia="黑体" w:cs="Times New Roman"/>
          <w:color w:val="auto"/>
          <w:sz w:val="24"/>
          <w:highlight w:val="yellow"/>
          <w:lang w:val="en-US" w:eastAsia="zh-CN"/>
        </w:rPr>
      </w:pPr>
    </w:p>
    <w:p w14:paraId="6B0DDA0E">
      <w:pPr>
        <w:bidi w:val="0"/>
        <w:rPr>
          <w:rFonts w:hint="eastAsia" w:ascii="Times New Roman" w:hAnsi="Times New Roman" w:eastAsia="黑体" w:cs="Times New Roman"/>
          <w:color w:val="auto"/>
          <w:sz w:val="24"/>
          <w:highlight w:val="yellow"/>
          <w:lang w:val="en-US" w:eastAsia="zh-CN"/>
        </w:rPr>
      </w:pPr>
    </w:p>
    <w:p w14:paraId="3C782188">
      <w:pPr>
        <w:bidi w:val="0"/>
        <w:rPr>
          <w:rFonts w:hint="eastAsia" w:ascii="Times New Roman" w:hAnsi="Times New Roman" w:eastAsia="黑体" w:cs="Times New Roman"/>
          <w:color w:val="auto"/>
          <w:sz w:val="24"/>
          <w:highlight w:val="yellow"/>
          <w:lang w:val="en-US" w:eastAsia="zh-CN"/>
        </w:rPr>
      </w:pPr>
    </w:p>
    <w:p w14:paraId="4E0E5850">
      <w:pPr>
        <w:bidi w:val="0"/>
        <w:rPr>
          <w:rFonts w:hint="eastAsia" w:ascii="Times New Roman" w:hAnsi="Times New Roman" w:eastAsia="黑体" w:cs="Times New Roman"/>
          <w:color w:val="auto"/>
          <w:sz w:val="24"/>
          <w:highlight w:val="yellow"/>
          <w:lang w:val="en-US" w:eastAsia="zh-CN"/>
        </w:rPr>
      </w:pPr>
    </w:p>
    <w:p w14:paraId="6253B43B">
      <w:pPr>
        <w:bidi w:val="0"/>
        <w:rPr>
          <w:rFonts w:hint="eastAsia" w:ascii="Times New Roman" w:hAnsi="Times New Roman" w:eastAsia="黑体" w:cs="Times New Roman"/>
          <w:color w:val="auto"/>
          <w:sz w:val="24"/>
          <w:highlight w:val="yellow"/>
          <w:lang w:val="en-US" w:eastAsia="zh-CN"/>
        </w:rPr>
      </w:pPr>
    </w:p>
    <w:p w14:paraId="6D266686">
      <w:pPr>
        <w:bidi w:val="0"/>
        <w:rPr>
          <w:rFonts w:hint="eastAsia" w:ascii="Times New Roman" w:hAnsi="Times New Roman" w:eastAsia="黑体" w:cs="Times New Roman"/>
          <w:color w:val="auto"/>
          <w:sz w:val="24"/>
          <w:highlight w:val="yellow"/>
          <w:lang w:val="en-US" w:eastAsia="zh-CN"/>
        </w:rPr>
      </w:pPr>
    </w:p>
    <w:p w14:paraId="1A66EF40">
      <w:pPr>
        <w:bidi w:val="0"/>
        <w:rPr>
          <w:rFonts w:hint="eastAsia" w:ascii="Times New Roman" w:hAnsi="Times New Roman" w:eastAsia="黑体" w:cs="Times New Roman"/>
          <w:color w:val="auto"/>
          <w:sz w:val="24"/>
          <w:highlight w:val="yellow"/>
          <w:lang w:val="en-US" w:eastAsia="zh-CN"/>
        </w:rPr>
      </w:pPr>
    </w:p>
    <w:p w14:paraId="43601863">
      <w:pPr>
        <w:bidi w:val="0"/>
        <w:rPr>
          <w:rFonts w:hint="eastAsia" w:ascii="Times New Roman" w:hAnsi="Times New Roman" w:eastAsia="黑体" w:cs="Times New Roman"/>
          <w:color w:val="auto"/>
          <w:sz w:val="24"/>
          <w:highlight w:val="yellow"/>
          <w:lang w:val="en-US" w:eastAsia="zh-CN"/>
        </w:rPr>
      </w:pPr>
    </w:p>
    <w:p w14:paraId="506FE7FB">
      <w:pPr>
        <w:bidi w:val="0"/>
        <w:rPr>
          <w:rFonts w:hint="eastAsia" w:ascii="Times New Roman" w:hAnsi="Times New Roman" w:eastAsia="黑体" w:cs="Times New Roman"/>
          <w:color w:val="auto"/>
          <w:sz w:val="24"/>
          <w:highlight w:val="yellow"/>
          <w:lang w:val="en-US" w:eastAsia="zh-CN"/>
        </w:rPr>
      </w:pPr>
    </w:p>
    <w:p w14:paraId="529EA371">
      <w:pPr>
        <w:bidi w:val="0"/>
        <w:rPr>
          <w:rFonts w:hint="eastAsia" w:ascii="Times New Roman" w:hAnsi="Times New Roman" w:eastAsia="黑体" w:cs="Times New Roman"/>
          <w:color w:val="auto"/>
          <w:sz w:val="24"/>
          <w:highlight w:val="yellow"/>
          <w:lang w:val="en-US" w:eastAsia="zh-CN"/>
        </w:rPr>
      </w:pPr>
    </w:p>
    <w:p w14:paraId="59E68C42">
      <w:pPr>
        <w:bidi w:val="0"/>
        <w:rPr>
          <w:rFonts w:hint="eastAsia" w:ascii="Times New Roman" w:hAnsi="Times New Roman" w:eastAsia="黑体" w:cs="Times New Roman"/>
          <w:color w:val="auto"/>
          <w:sz w:val="24"/>
          <w:highlight w:val="yellow"/>
          <w:lang w:val="en-US" w:eastAsia="zh-CN"/>
        </w:rPr>
      </w:pPr>
    </w:p>
    <w:p w14:paraId="292AEBC8">
      <w:pPr>
        <w:bidi w:val="0"/>
        <w:rPr>
          <w:rFonts w:hint="eastAsia" w:ascii="Times New Roman" w:hAnsi="Times New Roman" w:eastAsia="黑体" w:cs="Times New Roman"/>
          <w:color w:val="auto"/>
          <w:sz w:val="24"/>
          <w:highlight w:val="yellow"/>
          <w:lang w:val="en-US" w:eastAsia="zh-CN"/>
        </w:rPr>
      </w:pPr>
    </w:p>
    <w:p w14:paraId="26BE700A">
      <w:pPr>
        <w:pStyle w:val="8"/>
        <w:rPr>
          <w:rFonts w:hint="eastAsia"/>
          <w:lang w:val="en-US" w:eastAsia="zh-CN"/>
        </w:rPr>
      </w:pPr>
    </w:p>
    <w:p w14:paraId="43ACF3C3">
      <w:pPr>
        <w:bidi w:val="0"/>
        <w:rPr>
          <w:rFonts w:hint="eastAsia" w:ascii="Times New Roman" w:hAnsi="Times New Roman" w:eastAsia="黑体" w:cs="Times New Roman"/>
          <w:color w:val="auto"/>
          <w:sz w:val="24"/>
          <w:highlight w:val="yellow"/>
          <w:lang w:val="en-US" w:eastAsia="zh-CN"/>
        </w:rPr>
      </w:pPr>
    </w:p>
    <w:p w14:paraId="27F76004">
      <w:pPr>
        <w:bidi w:val="0"/>
        <w:rPr>
          <w:rFonts w:hint="eastAsia" w:ascii="Times New Roman" w:hAnsi="Times New Roman" w:eastAsia="黑体" w:cs="Times New Roman"/>
          <w:color w:val="auto"/>
          <w:sz w:val="24"/>
          <w:highlight w:val="yellow"/>
          <w:lang w:val="en-US" w:eastAsia="zh-CN"/>
        </w:rPr>
      </w:pPr>
    </w:p>
    <w:p w14:paraId="7F42CF63">
      <w:pPr>
        <w:bidi w:val="0"/>
        <w:rPr>
          <w:rFonts w:hint="default" w:ascii="Times New Roman" w:hAnsi="Times New Roman" w:eastAsia="黑体" w:cs="Times New Roman"/>
          <w:color w:val="auto"/>
          <w:sz w:val="24"/>
          <w:highlight w:val="yellow"/>
          <w:lang w:val="en-US" w:eastAsia="zh-CN"/>
        </w:rPr>
      </w:pPr>
    </w:p>
    <w:p w14:paraId="31AB784D">
      <w:pPr>
        <w:bidi w:val="0"/>
        <w:rPr>
          <w:rFonts w:hint="eastAsia"/>
          <w:color w:val="auto"/>
          <w:highlight w:val="none"/>
          <w:lang w:val="en-US" w:eastAsia="zh-CN"/>
        </w:rPr>
      </w:pPr>
    </w:p>
    <w:p w14:paraId="2F05E284">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w:t>
      </w:r>
      <w:r>
        <w:rPr>
          <w:rFonts w:hint="eastAsia" w:ascii="宋体" w:hAnsi="宋体"/>
          <w:color w:val="auto"/>
          <w:szCs w:val="21"/>
          <w:highlight w:val="none"/>
          <w:u w:val="none"/>
          <w:lang w:val="en-US" w:eastAsia="zh-CN"/>
        </w:rPr>
        <w:t>安装费、</w:t>
      </w:r>
      <w:r>
        <w:rPr>
          <w:rFonts w:hint="eastAsia" w:ascii="宋体" w:hAnsi="宋体"/>
          <w:color w:val="auto"/>
          <w:szCs w:val="21"/>
          <w:highlight w:val="none"/>
          <w:u w:val="none"/>
        </w:rPr>
        <w:t>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57C9A643">
      <w:pPr>
        <w:adjustRightInd w:val="0"/>
        <w:snapToGrid w:val="0"/>
        <w:spacing w:line="36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70026314">
      <w:pPr>
        <w:bidi w:val="0"/>
        <w:rPr>
          <w:rFonts w:hint="eastAsia"/>
          <w:color w:val="auto"/>
          <w:highlight w:val="none"/>
          <w:lang w:val="en-US" w:eastAsia="zh-CN"/>
        </w:rPr>
      </w:pPr>
    </w:p>
    <w:p w14:paraId="2EA6DF4D">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22"/>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02"/>
        <w:gridCol w:w="4081"/>
        <w:gridCol w:w="2119"/>
      </w:tblGrid>
      <w:tr w14:paraId="1FAB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vAlign w:val="center"/>
          </w:tcPr>
          <w:p w14:paraId="40882969">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902" w:type="dxa"/>
            <w:vAlign w:val="center"/>
          </w:tcPr>
          <w:p w14:paraId="70787F35">
            <w:pPr>
              <w:pStyle w:val="20"/>
              <w:keepNext w:val="0"/>
              <w:keepLines w:val="0"/>
              <w:suppressLineNumbers w:val="0"/>
              <w:spacing w:before="0" w:beforeAutospacing="0" w:afterAutospacing="0"/>
              <w:ind w:left="0" w:leftChars="0" w:right="0" w:firstLine="0" w:firstLineChars="0"/>
              <w:jc w:val="center"/>
              <w:rPr>
                <w:rFonts w:hint="default"/>
                <w:color w:val="auto"/>
                <w:highlight w:val="none"/>
                <w:lang w:val="en-US" w:eastAsia="zh-CN"/>
              </w:rPr>
            </w:pPr>
            <w:r>
              <w:rPr>
                <w:rFonts w:hint="eastAsia"/>
                <w:color w:val="auto"/>
                <w:highlight w:val="none"/>
                <w:lang w:val="en-US" w:eastAsia="zh-CN"/>
              </w:rPr>
              <w:t>采购项目</w:t>
            </w:r>
          </w:p>
        </w:tc>
        <w:tc>
          <w:tcPr>
            <w:tcW w:w="4081" w:type="dxa"/>
            <w:vAlign w:val="center"/>
          </w:tcPr>
          <w:p w14:paraId="5D63EC84">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总计金额（元）</w:t>
            </w:r>
          </w:p>
        </w:tc>
        <w:tc>
          <w:tcPr>
            <w:tcW w:w="2119" w:type="dxa"/>
            <w:vAlign w:val="center"/>
          </w:tcPr>
          <w:p w14:paraId="2E7D9F42">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5A10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vAlign w:val="center"/>
          </w:tcPr>
          <w:p w14:paraId="7B2DE8F5">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902" w:type="dxa"/>
            <w:vAlign w:val="center"/>
          </w:tcPr>
          <w:p w14:paraId="5649D393">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color w:val="auto"/>
                <w:highlight w:val="none"/>
                <w:lang w:val="en-US" w:eastAsia="zh-CN"/>
              </w:rPr>
              <w:t>合计</w:t>
            </w:r>
          </w:p>
        </w:tc>
        <w:tc>
          <w:tcPr>
            <w:tcW w:w="4081" w:type="dxa"/>
            <w:vAlign w:val="center"/>
          </w:tcPr>
          <w:p w14:paraId="7202620A">
            <w:pPr>
              <w:pStyle w:val="20"/>
              <w:keepNext w:val="0"/>
              <w:keepLines w:val="0"/>
              <w:suppressLineNumbers w:val="0"/>
              <w:spacing w:before="0" w:beforeAutospacing="0" w:afterAutospacing="0"/>
              <w:ind w:left="0" w:leftChars="0" w:right="0" w:firstLine="420" w:firstLineChars="200"/>
              <w:jc w:val="both"/>
              <w:rPr>
                <w:rFonts w:hint="default" w:ascii="宋体" w:hAnsi="宋体" w:eastAsia="宋体" w:cs="宋体"/>
                <w:color w:val="auto"/>
                <w:sz w:val="21"/>
                <w:szCs w:val="21"/>
                <w:highlight w:val="none"/>
                <w:vertAlign w:val="baseline"/>
                <w:lang w:val="en-US" w:eastAsia="zh-CN"/>
              </w:rPr>
            </w:pPr>
          </w:p>
        </w:tc>
        <w:tc>
          <w:tcPr>
            <w:tcW w:w="2119" w:type="dxa"/>
            <w:vAlign w:val="center"/>
          </w:tcPr>
          <w:p w14:paraId="6A4B90EC">
            <w:pPr>
              <w:pStyle w:val="20"/>
              <w:keepNext w:val="0"/>
              <w:keepLines w:val="0"/>
              <w:suppressLineNumbers w:val="0"/>
              <w:spacing w:before="0" w:beforeAutospacing="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Times New Roman" w:hAnsi="Times New Roman" w:cs="Times New Roman"/>
                <w:b w:val="0"/>
                <w:color w:val="auto"/>
                <w:sz w:val="21"/>
                <w:szCs w:val="22"/>
                <w:highlight w:val="none"/>
                <w:u w:val="none"/>
                <w:lang w:val="en-US" w:eastAsia="zh-CN"/>
              </w:rPr>
              <w:t>含税（13%）增值税专用发票 ，详见附件报价单。</w:t>
            </w:r>
          </w:p>
        </w:tc>
      </w:tr>
      <w:tr w14:paraId="458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683" w:type="dxa"/>
            <w:gridSpan w:val="2"/>
            <w:vAlign w:val="center"/>
          </w:tcPr>
          <w:p w14:paraId="7BEBA5EB">
            <w:pPr>
              <w:pStyle w:val="20"/>
              <w:keepNext w:val="0"/>
              <w:keepLines w:val="0"/>
              <w:suppressLineNumbers w:val="0"/>
              <w:spacing w:before="0" w:beforeAutospacing="0" w:afterAutospacing="0"/>
              <w:ind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总合计金额（元）</w:t>
            </w:r>
          </w:p>
        </w:tc>
        <w:tc>
          <w:tcPr>
            <w:tcW w:w="6200" w:type="dxa"/>
            <w:gridSpan w:val="2"/>
            <w:vAlign w:val="center"/>
          </w:tcPr>
          <w:p w14:paraId="02585497">
            <w:pPr>
              <w:pStyle w:val="20"/>
              <w:keepNext w:val="0"/>
              <w:keepLines w:val="0"/>
              <w:suppressLineNumbers w:val="0"/>
              <w:spacing w:before="0" w:beforeAutospacing="0" w:afterAutospacing="0"/>
              <w:ind w:left="0" w:leftChars="0" w:right="0" w:firstLine="0" w:firstLineChars="0"/>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大写：</w:t>
            </w:r>
          </w:p>
        </w:tc>
      </w:tr>
    </w:tbl>
    <w:p w14:paraId="24F56A55">
      <w:pPr>
        <w:pStyle w:val="20"/>
        <w:ind w:left="0" w:leftChars="0" w:firstLine="0" w:firstLineChars="0"/>
        <w:rPr>
          <w:rFonts w:hint="eastAsia" w:ascii="宋体" w:hAnsi="宋体"/>
          <w:color w:val="auto"/>
          <w:szCs w:val="21"/>
          <w:highlight w:val="none"/>
          <w:u w:val="none"/>
        </w:rPr>
      </w:pPr>
    </w:p>
    <w:p w14:paraId="4F4D5A75">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w:t>
      </w:r>
      <w:r>
        <w:rPr>
          <w:rFonts w:hint="eastAsia" w:ascii="宋体" w:hAnsi="宋体"/>
          <w:color w:val="auto"/>
          <w:szCs w:val="21"/>
          <w:highlight w:val="none"/>
          <w:u w:val="none"/>
          <w:lang w:val="en-US" w:eastAsia="zh-CN"/>
        </w:rPr>
        <w:t>单位公章</w:t>
      </w:r>
      <w:r>
        <w:rPr>
          <w:rFonts w:hint="eastAsia" w:ascii="宋体" w:hAnsi="宋体"/>
          <w:color w:val="auto"/>
          <w:szCs w:val="21"/>
          <w:highlight w:val="none"/>
          <w:u w:val="none"/>
        </w:rPr>
        <w:t>）</w:t>
      </w:r>
    </w:p>
    <w:p w14:paraId="751B3E52">
      <w:pPr>
        <w:ind w:right="480" w:firstLine="1470" w:firstLineChars="700"/>
        <w:jc w:val="right"/>
        <w:rPr>
          <w:rFonts w:ascii="宋体" w:hAnsi="宋体"/>
          <w:color w:val="auto"/>
          <w:szCs w:val="21"/>
          <w:highlight w:val="none"/>
          <w:u w:val="none"/>
        </w:rPr>
      </w:pPr>
    </w:p>
    <w:p w14:paraId="2D5D0E6F">
      <w:pPr>
        <w:ind w:right="480"/>
        <w:jc w:val="both"/>
        <w:rPr>
          <w:rFonts w:ascii="宋体" w:hAnsi="宋体"/>
          <w:color w:val="auto"/>
          <w:szCs w:val="21"/>
          <w:highlight w:val="none"/>
          <w:u w:val="none"/>
        </w:rPr>
      </w:pPr>
      <w:r>
        <w:rPr>
          <w:rFonts w:hint="eastAsia" w:ascii="宋体" w:hAnsi="宋体"/>
          <w:color w:val="auto"/>
          <w:szCs w:val="21"/>
          <w:highlight w:val="none"/>
          <w:u w:val="none"/>
        </w:rPr>
        <w:t>法定代表人或</w:t>
      </w:r>
      <w:r>
        <w:rPr>
          <w:rFonts w:hint="eastAsia" w:ascii="宋体" w:hAnsi="宋体"/>
          <w:color w:val="auto"/>
          <w:szCs w:val="21"/>
          <w:highlight w:val="none"/>
          <w:u w:val="none"/>
          <w:lang w:val="en-US" w:eastAsia="zh-CN"/>
        </w:rPr>
        <w:t>委托</w:t>
      </w:r>
      <w:r>
        <w:rPr>
          <w:rFonts w:hint="eastAsia" w:ascii="宋体" w:hAnsi="宋体"/>
          <w:color w:val="auto"/>
          <w:szCs w:val="21"/>
          <w:highlight w:val="none"/>
          <w:u w:val="none"/>
        </w:rPr>
        <w:t>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14:paraId="34B6C7CF">
      <w:pPr>
        <w:pStyle w:val="20"/>
        <w:rPr>
          <w:color w:val="auto"/>
          <w:highlight w:val="none"/>
        </w:rPr>
      </w:pPr>
    </w:p>
    <w:p w14:paraId="1963A718">
      <w:pPr>
        <w:pStyle w:val="20"/>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    年   月   日</w:t>
      </w:r>
    </w:p>
    <w:p w14:paraId="1DCA1A0F">
      <w:pPr>
        <w:pStyle w:val="19"/>
        <w:rPr>
          <w:rFonts w:hint="eastAsia"/>
          <w:color w:val="auto"/>
          <w:highlight w:val="none"/>
          <w:lang w:val="en-US" w:eastAsia="zh-CN"/>
        </w:rPr>
      </w:pPr>
    </w:p>
    <w:p w14:paraId="581676FD">
      <w:pPr>
        <w:pStyle w:val="19"/>
        <w:rPr>
          <w:rFonts w:hint="eastAsia"/>
          <w:color w:val="auto"/>
          <w:highlight w:val="none"/>
          <w:lang w:val="en-US" w:eastAsia="zh-CN"/>
        </w:rPr>
      </w:pPr>
    </w:p>
    <w:p w14:paraId="71D1A16A">
      <w:pPr>
        <w:pStyle w:val="19"/>
        <w:rPr>
          <w:rFonts w:hint="eastAsia"/>
          <w:color w:val="auto"/>
          <w:highlight w:val="none"/>
          <w:lang w:val="en-US" w:eastAsia="zh-CN"/>
        </w:rPr>
      </w:pPr>
    </w:p>
    <w:p w14:paraId="4BB2DBFD">
      <w:pPr>
        <w:pStyle w:val="19"/>
        <w:rPr>
          <w:rFonts w:hint="eastAsia"/>
          <w:color w:val="auto"/>
          <w:highlight w:val="none"/>
          <w:lang w:val="en-US" w:eastAsia="zh-CN"/>
        </w:rPr>
      </w:pPr>
    </w:p>
    <w:p w14:paraId="6579A0A6">
      <w:pPr>
        <w:pStyle w:val="19"/>
        <w:rPr>
          <w:rFonts w:hint="eastAsia"/>
          <w:color w:val="auto"/>
          <w:highlight w:val="none"/>
          <w:lang w:val="en-US" w:eastAsia="zh-CN"/>
        </w:rPr>
      </w:pPr>
    </w:p>
    <w:p w14:paraId="39FF482F">
      <w:pPr>
        <w:pStyle w:val="19"/>
        <w:rPr>
          <w:rFonts w:hint="eastAsia"/>
          <w:color w:val="auto"/>
          <w:highlight w:val="none"/>
          <w:lang w:val="en-US" w:eastAsia="zh-CN"/>
        </w:rPr>
      </w:pPr>
    </w:p>
    <w:p w14:paraId="1222E17D">
      <w:pPr>
        <w:pStyle w:val="19"/>
        <w:rPr>
          <w:rFonts w:hint="eastAsia"/>
          <w:color w:val="auto"/>
          <w:highlight w:val="none"/>
          <w:lang w:val="en-US" w:eastAsia="zh-CN"/>
        </w:rPr>
      </w:pPr>
    </w:p>
    <w:p w14:paraId="36C08017">
      <w:pPr>
        <w:pStyle w:val="19"/>
        <w:rPr>
          <w:rFonts w:hint="eastAsia"/>
          <w:color w:val="auto"/>
          <w:highlight w:val="none"/>
          <w:lang w:val="en-US" w:eastAsia="zh-CN"/>
        </w:rPr>
      </w:pPr>
    </w:p>
    <w:p w14:paraId="06788BEC">
      <w:pPr>
        <w:pStyle w:val="19"/>
        <w:rPr>
          <w:rFonts w:hint="eastAsia"/>
          <w:color w:val="auto"/>
          <w:highlight w:val="none"/>
          <w:lang w:val="en-US" w:eastAsia="zh-CN"/>
        </w:rPr>
      </w:pPr>
    </w:p>
    <w:p w14:paraId="580C0859">
      <w:pPr>
        <w:pStyle w:val="19"/>
        <w:rPr>
          <w:rFonts w:hint="eastAsia"/>
          <w:color w:val="auto"/>
          <w:highlight w:val="none"/>
          <w:lang w:val="en-US" w:eastAsia="zh-CN"/>
        </w:rPr>
      </w:pPr>
    </w:p>
    <w:p w14:paraId="0675DBD4">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1.上述费用包括货物的原材料、生产、包装、运输、安装、保险、卸货叉车费（如有）、人工费、卸车费、利润、税费等相关费用。</w:t>
      </w:r>
    </w:p>
    <w:p w14:paraId="5B75BEDD">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1A366C9D">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3.必须按规定提供全部完整无损、全新的产品。涉及标的物第三方复试费用均由供应商承担（含检测样品），抽检频率和批次按国家、行业标准或甲方要求执行。</w:t>
      </w:r>
    </w:p>
    <w:p w14:paraId="1EE7804B">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4.标的物须在包装外壁醒目位置上永久性标示生产厂家、生产批次、品牌标志、规格型号、唯一性可追溯性编码标识（如二维码）等信息。</w:t>
      </w:r>
    </w:p>
    <w:p w14:paraId="5B5EC393">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5.标的物供货进度应满足采购人工程进度分批次实施的安排和要求，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人应充分理解并全力配合采购人的标的物采购、进场工作，并承担因送货次数增加而引起的运输成本增加等相应风险。</w:t>
      </w:r>
    </w:p>
    <w:p w14:paraId="324F1C01">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人对提供的标的物质量负总责，材料进场应按程序履行报验、交接手续；因标的物质量问题，将视作违约，</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人须赔偿由此造成返工的全部工程建设费用及其他一切损失，同时由采购人追究</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人的违约责任，情节严重的，依法追究相关责任。</w:t>
      </w:r>
    </w:p>
    <w:p w14:paraId="282D03A1">
      <w:pPr>
        <w:pStyle w:val="13"/>
        <w:adjustRightInd w:val="0"/>
        <w:snapToGrid w:val="0"/>
        <w:jc w:val="center"/>
        <w:rPr>
          <w:rFonts w:ascii="Times New Roman" w:hAnsi="Times New Roman" w:cs="Times New Roman"/>
          <w:color w:val="auto"/>
          <w:highlight w:val="none"/>
        </w:rPr>
      </w:pPr>
    </w:p>
    <w:p w14:paraId="4D6E4DEF">
      <w:pPr>
        <w:rPr>
          <w:rFonts w:ascii="Times New Roman" w:hAnsi="Times New Roman" w:eastAsia="华文中宋" w:cs="Times New Roman"/>
          <w:b/>
          <w:smallCaps/>
          <w:color w:val="auto"/>
          <w:sz w:val="24"/>
          <w:szCs w:val="24"/>
          <w:highlight w:val="none"/>
        </w:rPr>
      </w:pPr>
      <w:r>
        <w:rPr>
          <w:rFonts w:ascii="Times New Roman" w:hAnsi="Times New Roman" w:eastAsia="华文中宋" w:cs="Times New Roman"/>
          <w:b/>
          <w:smallCaps/>
          <w:color w:val="auto"/>
          <w:sz w:val="24"/>
          <w:szCs w:val="24"/>
          <w:highlight w:val="none"/>
        </w:rPr>
        <w:br w:type="page"/>
      </w:r>
    </w:p>
    <w:p w14:paraId="32E8FD67">
      <w:pPr>
        <w:jc w:val="center"/>
        <w:rPr>
          <w:rFonts w:hint="eastAsia" w:ascii="Times New Roman" w:hAnsi="Times New Roman" w:eastAsia="华文中宋" w:cs="Times New Roman"/>
          <w:b/>
          <w:smallCaps/>
          <w:color w:val="auto"/>
          <w:sz w:val="24"/>
          <w:szCs w:val="24"/>
          <w:highlight w:val="none"/>
          <w:lang w:val="en-US" w:eastAsia="zh-CN"/>
        </w:rPr>
      </w:pPr>
    </w:p>
    <w:p w14:paraId="5D16C7CF">
      <w:pPr>
        <w:pStyle w:val="13"/>
        <w:adjustRightInd w:val="0"/>
        <w:snapToGrid w:val="0"/>
        <w:jc w:val="center"/>
        <w:outlineLvl w:val="1"/>
        <w:rPr>
          <w:rFonts w:ascii="Times New Roman" w:hAnsi="Times New Roman" w:eastAsia="华文中宋" w:cs="Times New Roman"/>
          <w:b/>
          <w:color w:val="auto"/>
          <w:sz w:val="24"/>
          <w:szCs w:val="24"/>
          <w:highlight w:val="none"/>
        </w:rPr>
      </w:pPr>
      <w:r>
        <w:rPr>
          <w:rFonts w:ascii="Times New Roman" w:hAnsi="Times New Roman" w:eastAsia="华文中宋" w:cs="Times New Roman"/>
          <w:b/>
          <w:smallCaps/>
          <w:color w:val="auto"/>
          <w:sz w:val="24"/>
          <w:szCs w:val="24"/>
          <w:highlight w:val="none"/>
        </w:rPr>
        <w:t>三、</w:t>
      </w:r>
      <w:r>
        <w:rPr>
          <w:rFonts w:hint="eastAsia" w:ascii="Times New Roman" w:hAnsi="Times New Roman" w:eastAsia="华文中宋" w:cs="Times New Roman"/>
          <w:b/>
          <w:smallCaps/>
          <w:color w:val="auto"/>
          <w:sz w:val="24"/>
          <w:szCs w:val="24"/>
          <w:highlight w:val="none"/>
          <w:lang w:eastAsia="zh-CN"/>
        </w:rPr>
        <w:t>响应</w:t>
      </w:r>
      <w:r>
        <w:rPr>
          <w:rFonts w:ascii="Times New Roman" w:hAnsi="Times New Roman" w:eastAsia="华文中宋" w:cs="Times New Roman"/>
          <w:b/>
          <w:color w:val="auto"/>
          <w:sz w:val="24"/>
          <w:szCs w:val="24"/>
          <w:highlight w:val="none"/>
        </w:rPr>
        <w:t>报价需要说明的其他资料</w:t>
      </w:r>
    </w:p>
    <w:p w14:paraId="08CAB758">
      <w:pPr>
        <w:adjustRightInd w:val="0"/>
        <w:snapToGrid w:val="0"/>
        <w:ind w:firstLine="480" w:firstLineChars="200"/>
        <w:jc w:val="center"/>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单位认为需对其</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报价进行其他补充说明及证明材料</w:t>
      </w:r>
    </w:p>
    <w:p w14:paraId="34C21B0D">
      <w:pPr>
        <w:pStyle w:val="20"/>
        <w:rPr>
          <w:rFonts w:ascii="Times New Roman" w:hAnsi="Times New Roman" w:cs="Times New Roman"/>
          <w:color w:val="auto"/>
          <w:sz w:val="24"/>
          <w:highlight w:val="none"/>
        </w:rPr>
      </w:pPr>
    </w:p>
    <w:p w14:paraId="5934982E">
      <w:pPr>
        <w:rPr>
          <w:rFonts w:ascii="Times New Roman" w:hAnsi="Times New Roman" w:cs="Times New Roman"/>
          <w:color w:val="auto"/>
          <w:sz w:val="24"/>
          <w:highlight w:val="none"/>
        </w:rPr>
      </w:pPr>
    </w:p>
    <w:p w14:paraId="18EDBFB3">
      <w:pPr>
        <w:pStyle w:val="20"/>
        <w:rPr>
          <w:rFonts w:ascii="Times New Roman" w:hAnsi="Times New Roman" w:cs="Times New Roman"/>
          <w:color w:val="auto"/>
          <w:sz w:val="24"/>
          <w:highlight w:val="none"/>
        </w:rPr>
      </w:pPr>
    </w:p>
    <w:p w14:paraId="1D66B5E8">
      <w:pPr>
        <w:rPr>
          <w:rFonts w:ascii="Times New Roman" w:hAnsi="Times New Roman" w:cs="Times New Roman"/>
          <w:color w:val="auto"/>
          <w:sz w:val="24"/>
          <w:highlight w:val="none"/>
        </w:rPr>
      </w:pPr>
    </w:p>
    <w:p w14:paraId="2ADE3158">
      <w:pPr>
        <w:pStyle w:val="20"/>
        <w:rPr>
          <w:rFonts w:ascii="Times New Roman" w:hAnsi="Times New Roman" w:cs="Times New Roman"/>
          <w:color w:val="auto"/>
          <w:sz w:val="24"/>
          <w:highlight w:val="none"/>
        </w:rPr>
      </w:pPr>
    </w:p>
    <w:p w14:paraId="5EEABA31">
      <w:pPr>
        <w:rPr>
          <w:rFonts w:ascii="Times New Roman" w:hAnsi="Times New Roman" w:cs="Times New Roman"/>
          <w:color w:val="auto"/>
          <w:sz w:val="24"/>
          <w:highlight w:val="none"/>
        </w:rPr>
      </w:pPr>
    </w:p>
    <w:p w14:paraId="41A5DB6C">
      <w:pPr>
        <w:pStyle w:val="20"/>
        <w:rPr>
          <w:rFonts w:ascii="Times New Roman" w:hAnsi="Times New Roman" w:cs="Times New Roman"/>
          <w:color w:val="auto"/>
          <w:sz w:val="24"/>
          <w:highlight w:val="none"/>
        </w:rPr>
      </w:pPr>
    </w:p>
    <w:p w14:paraId="2715B041">
      <w:pPr>
        <w:rPr>
          <w:rFonts w:ascii="Times New Roman" w:hAnsi="Times New Roman" w:cs="Times New Roman"/>
          <w:color w:val="auto"/>
          <w:sz w:val="24"/>
          <w:highlight w:val="none"/>
        </w:rPr>
      </w:pPr>
    </w:p>
    <w:p w14:paraId="334913F0">
      <w:pPr>
        <w:pStyle w:val="33"/>
        <w:rPr>
          <w:rFonts w:ascii="Times New Roman" w:hAnsi="Times New Roman" w:cs="Times New Roman"/>
          <w:color w:val="auto"/>
          <w:sz w:val="24"/>
          <w:highlight w:val="none"/>
        </w:rPr>
      </w:pPr>
    </w:p>
    <w:p w14:paraId="0C1676CE">
      <w:pPr>
        <w:rPr>
          <w:rFonts w:hint="eastAsia"/>
          <w:b/>
          <w:bCs/>
          <w:color w:val="auto"/>
          <w:sz w:val="28"/>
          <w:szCs w:val="28"/>
          <w:highlight w:val="none"/>
          <w:lang w:val="en-US" w:eastAsia="zh-CN"/>
        </w:rPr>
      </w:pPr>
    </w:p>
    <w:p w14:paraId="28FC1CAC">
      <w:pPr>
        <w:pStyle w:val="19"/>
        <w:rPr>
          <w:rFonts w:hint="eastAsia"/>
          <w:color w:val="auto"/>
          <w:highlight w:val="none"/>
          <w:lang w:val="en-US" w:eastAsia="zh-CN"/>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55B84EC-998F-4C6D-A6C4-0090877377A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6EDD2F2-1613-4D02-9CDF-2C47CC6B35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F8BBAC1-FAAD-4DBC-9641-634DFFE36BEA}"/>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embedRegular r:id="rId4" w:fontKey="{BE87E4DE-D0EA-42AD-AB05-55B399AE72EC}"/>
  </w:font>
  <w:font w:name="方正小标宋简体">
    <w:panose1 w:val="03000509000000000000"/>
    <w:charset w:val="86"/>
    <w:family w:val="auto"/>
    <w:pitch w:val="default"/>
    <w:sig w:usb0="00000001" w:usb1="080E0000" w:usb2="00000000" w:usb3="00000000" w:csb0="00040000" w:csb1="00000000"/>
    <w:embedRegular r:id="rId5" w:fontKey="{CE9C5790-9828-44B7-96D4-11E430C31D0B}"/>
  </w:font>
  <w:font w:name="Wingdings 2">
    <w:panose1 w:val="05020102010507070707"/>
    <w:charset w:val="02"/>
    <w:family w:val="roman"/>
    <w:pitch w:val="default"/>
    <w:sig w:usb0="00000000" w:usb1="00000000" w:usb2="00000000" w:usb3="00000000" w:csb0="80000000" w:csb1="00000000"/>
    <w:embedRegular r:id="rId6" w:fontKey="{04766B01-A3AE-4971-B234-1B63411D8708}"/>
  </w:font>
  <w:font w:name="华文楷体">
    <w:panose1 w:val="02010600040101010101"/>
    <w:charset w:val="86"/>
    <w:family w:val="auto"/>
    <w:pitch w:val="default"/>
    <w:sig w:usb0="00000287" w:usb1="080F0000" w:usb2="00000000" w:usb3="00000000" w:csb0="0004009F" w:csb1="DFD70000"/>
    <w:embedRegular r:id="rId7" w:fontKey="{82563A95-AD13-4A20-BB07-BED4630A019A}"/>
  </w:font>
  <w:font w:name="仿宋_GB2312">
    <w:panose1 w:val="02010609030101010101"/>
    <w:charset w:val="86"/>
    <w:family w:val="modern"/>
    <w:pitch w:val="default"/>
    <w:sig w:usb0="00000001" w:usb1="080E0000" w:usb2="00000000" w:usb3="00000000" w:csb0="00040000" w:csb1="00000000"/>
    <w:embedRegular r:id="rId8" w:fontKey="{82025BEA-7AFB-40B2-8072-4B480BC361FB}"/>
  </w:font>
  <w:font w:name="楷体">
    <w:panose1 w:val="02010609060101010101"/>
    <w:charset w:val="86"/>
    <w:family w:val="auto"/>
    <w:pitch w:val="default"/>
    <w:sig w:usb0="800002BF" w:usb1="38CF7CFA" w:usb2="00000016" w:usb3="00000000" w:csb0="00040001" w:csb1="00000000"/>
    <w:embedRegular r:id="rId9" w:fontKey="{0B337F34-AF3F-4113-82B7-A714B99C6092}"/>
  </w:font>
  <w:font w:name="仿宋">
    <w:panose1 w:val="02010609060101010101"/>
    <w:charset w:val="86"/>
    <w:family w:val="auto"/>
    <w:pitch w:val="default"/>
    <w:sig w:usb0="800002BF" w:usb1="38CF7CFA" w:usb2="00000016" w:usb3="00000000" w:csb0="00040001" w:csb1="00000000"/>
    <w:embedRegular r:id="rId10" w:fontKey="{E31FE9C4-1363-4323-99F2-1327B27EA7B7}"/>
  </w:font>
  <w:font w:name="华文中宋">
    <w:panose1 w:val="02010600040101010101"/>
    <w:charset w:val="50"/>
    <w:family w:val="auto"/>
    <w:pitch w:val="default"/>
    <w:sig w:usb0="00000287" w:usb1="080F0000" w:usb2="00000000" w:usb3="00000000" w:csb0="0004009F" w:csb1="DFD70000"/>
    <w:embedRegular r:id="rId11" w:fontKey="{A0404769-A1C3-43AB-B58E-A11E4A29C0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6123">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A0C7666">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F25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2EB9">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3C57">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14E">
    <w:pPr>
      <w:pStyle w:val="14"/>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76ED">
    <w:pPr>
      <w:pStyle w:val="9"/>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FE8C">
    <w:pPr>
      <w:pStyle w:val="9"/>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7"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E81B">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9"/>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0384C7"/>
    <w:multiLevelType w:val="singleLevel"/>
    <w:tmpl w:val="4D0384C7"/>
    <w:lvl w:ilvl="0" w:tentative="0">
      <w:start w:val="1"/>
      <w:numFmt w:val="chineseCounting"/>
      <w:suff w:val="space"/>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5607D6"/>
    <w:rsid w:val="00653222"/>
    <w:rsid w:val="00665BAD"/>
    <w:rsid w:val="00675481"/>
    <w:rsid w:val="00691F7C"/>
    <w:rsid w:val="00724BD4"/>
    <w:rsid w:val="007678F7"/>
    <w:rsid w:val="007C6E94"/>
    <w:rsid w:val="00950240"/>
    <w:rsid w:val="009F4C1B"/>
    <w:rsid w:val="00A15DCF"/>
    <w:rsid w:val="00AB7A64"/>
    <w:rsid w:val="00D704DB"/>
    <w:rsid w:val="00E30FAC"/>
    <w:rsid w:val="00E8570D"/>
    <w:rsid w:val="010A3C11"/>
    <w:rsid w:val="010E69FF"/>
    <w:rsid w:val="016035C7"/>
    <w:rsid w:val="017D7CB0"/>
    <w:rsid w:val="01AF70E0"/>
    <w:rsid w:val="01D6466C"/>
    <w:rsid w:val="0211370D"/>
    <w:rsid w:val="0215764D"/>
    <w:rsid w:val="022655F4"/>
    <w:rsid w:val="023E3C6A"/>
    <w:rsid w:val="0286092F"/>
    <w:rsid w:val="028D5673"/>
    <w:rsid w:val="02932C1B"/>
    <w:rsid w:val="02B159B4"/>
    <w:rsid w:val="02C26D91"/>
    <w:rsid w:val="02D346A3"/>
    <w:rsid w:val="02DF3606"/>
    <w:rsid w:val="02F05C02"/>
    <w:rsid w:val="036118B1"/>
    <w:rsid w:val="0371289F"/>
    <w:rsid w:val="038863C7"/>
    <w:rsid w:val="0389136D"/>
    <w:rsid w:val="03A9557F"/>
    <w:rsid w:val="03B86BA8"/>
    <w:rsid w:val="03F914B2"/>
    <w:rsid w:val="040E72F5"/>
    <w:rsid w:val="04230E30"/>
    <w:rsid w:val="042516B9"/>
    <w:rsid w:val="042F2C67"/>
    <w:rsid w:val="045E338A"/>
    <w:rsid w:val="046E6DDE"/>
    <w:rsid w:val="047010F6"/>
    <w:rsid w:val="04701D1E"/>
    <w:rsid w:val="049D76C3"/>
    <w:rsid w:val="04C16A73"/>
    <w:rsid w:val="04E034BC"/>
    <w:rsid w:val="05085F79"/>
    <w:rsid w:val="052851DF"/>
    <w:rsid w:val="0535195E"/>
    <w:rsid w:val="054416D2"/>
    <w:rsid w:val="05AF29EE"/>
    <w:rsid w:val="05D2339D"/>
    <w:rsid w:val="05F62696"/>
    <w:rsid w:val="05F94BA8"/>
    <w:rsid w:val="060774EA"/>
    <w:rsid w:val="06341F34"/>
    <w:rsid w:val="06663933"/>
    <w:rsid w:val="068727A0"/>
    <w:rsid w:val="06E878A2"/>
    <w:rsid w:val="07063EDC"/>
    <w:rsid w:val="071432F2"/>
    <w:rsid w:val="073835B2"/>
    <w:rsid w:val="076958CF"/>
    <w:rsid w:val="07A31864"/>
    <w:rsid w:val="07AF3996"/>
    <w:rsid w:val="07C951F6"/>
    <w:rsid w:val="08065E5F"/>
    <w:rsid w:val="080B2B96"/>
    <w:rsid w:val="081D6FC0"/>
    <w:rsid w:val="08412974"/>
    <w:rsid w:val="0881185D"/>
    <w:rsid w:val="08907C6B"/>
    <w:rsid w:val="08CA47FF"/>
    <w:rsid w:val="08E91129"/>
    <w:rsid w:val="09187C60"/>
    <w:rsid w:val="091A677A"/>
    <w:rsid w:val="09210464"/>
    <w:rsid w:val="095E1B17"/>
    <w:rsid w:val="096867B1"/>
    <w:rsid w:val="09B13FF7"/>
    <w:rsid w:val="0A2E7496"/>
    <w:rsid w:val="0A407D2C"/>
    <w:rsid w:val="0A466107"/>
    <w:rsid w:val="0A64315D"/>
    <w:rsid w:val="0A8235E3"/>
    <w:rsid w:val="0A941F2B"/>
    <w:rsid w:val="0AAD73BC"/>
    <w:rsid w:val="0AB84C95"/>
    <w:rsid w:val="0AED0915"/>
    <w:rsid w:val="0AF3003D"/>
    <w:rsid w:val="0B286939"/>
    <w:rsid w:val="0B2E4625"/>
    <w:rsid w:val="0B416FFB"/>
    <w:rsid w:val="0B543FDB"/>
    <w:rsid w:val="0B7F3FC7"/>
    <w:rsid w:val="0BA10DDD"/>
    <w:rsid w:val="0BB2614A"/>
    <w:rsid w:val="0BC86369"/>
    <w:rsid w:val="0BCC3D77"/>
    <w:rsid w:val="0BDD422F"/>
    <w:rsid w:val="0C024903"/>
    <w:rsid w:val="0C0B7829"/>
    <w:rsid w:val="0C126BE9"/>
    <w:rsid w:val="0C252478"/>
    <w:rsid w:val="0C425774"/>
    <w:rsid w:val="0C433DD8"/>
    <w:rsid w:val="0C5C5FF7"/>
    <w:rsid w:val="0CA667B4"/>
    <w:rsid w:val="0CB62B1E"/>
    <w:rsid w:val="0CD81BE1"/>
    <w:rsid w:val="0D604989"/>
    <w:rsid w:val="0D676CED"/>
    <w:rsid w:val="0DBD0BDC"/>
    <w:rsid w:val="0DC42165"/>
    <w:rsid w:val="0DD26630"/>
    <w:rsid w:val="0DE02F17"/>
    <w:rsid w:val="0E436CA2"/>
    <w:rsid w:val="0E541DD8"/>
    <w:rsid w:val="0E593FE9"/>
    <w:rsid w:val="0EA07AC2"/>
    <w:rsid w:val="0EB14497"/>
    <w:rsid w:val="0EB73ADA"/>
    <w:rsid w:val="0EBA46A3"/>
    <w:rsid w:val="0EBB2DAD"/>
    <w:rsid w:val="0ED411DA"/>
    <w:rsid w:val="0EF05DCE"/>
    <w:rsid w:val="0F4E7639"/>
    <w:rsid w:val="0F515C7A"/>
    <w:rsid w:val="0F531ACB"/>
    <w:rsid w:val="0F5D63CD"/>
    <w:rsid w:val="0F6F4854"/>
    <w:rsid w:val="0F9D4A1B"/>
    <w:rsid w:val="0F9F0794"/>
    <w:rsid w:val="0FB568C1"/>
    <w:rsid w:val="0FB57FB7"/>
    <w:rsid w:val="0FBE1FCA"/>
    <w:rsid w:val="0FD41FBD"/>
    <w:rsid w:val="0FD4370B"/>
    <w:rsid w:val="0FFD54BA"/>
    <w:rsid w:val="101902A4"/>
    <w:rsid w:val="101A751A"/>
    <w:rsid w:val="103E486A"/>
    <w:rsid w:val="106D5B52"/>
    <w:rsid w:val="1090350E"/>
    <w:rsid w:val="10944070"/>
    <w:rsid w:val="10A6372F"/>
    <w:rsid w:val="10A97373"/>
    <w:rsid w:val="10DA535D"/>
    <w:rsid w:val="10F20D97"/>
    <w:rsid w:val="10F863AD"/>
    <w:rsid w:val="110D2AFF"/>
    <w:rsid w:val="112131E2"/>
    <w:rsid w:val="11681ED6"/>
    <w:rsid w:val="119C482A"/>
    <w:rsid w:val="11B06C88"/>
    <w:rsid w:val="11C6025A"/>
    <w:rsid w:val="11DF30C9"/>
    <w:rsid w:val="11E46EAE"/>
    <w:rsid w:val="11F528ED"/>
    <w:rsid w:val="11FD4CD5"/>
    <w:rsid w:val="128A0D9B"/>
    <w:rsid w:val="129325F3"/>
    <w:rsid w:val="12983425"/>
    <w:rsid w:val="129A3494"/>
    <w:rsid w:val="12BD1492"/>
    <w:rsid w:val="12FA3B2F"/>
    <w:rsid w:val="1300779B"/>
    <w:rsid w:val="13054DB2"/>
    <w:rsid w:val="131B45D5"/>
    <w:rsid w:val="13431F92"/>
    <w:rsid w:val="13955E86"/>
    <w:rsid w:val="13C13BEB"/>
    <w:rsid w:val="13D604FC"/>
    <w:rsid w:val="13E11194"/>
    <w:rsid w:val="13EC1865"/>
    <w:rsid w:val="13F06450"/>
    <w:rsid w:val="144A391D"/>
    <w:rsid w:val="145D3899"/>
    <w:rsid w:val="14B7657F"/>
    <w:rsid w:val="14BF5434"/>
    <w:rsid w:val="14CE63E8"/>
    <w:rsid w:val="150E5893"/>
    <w:rsid w:val="15133F2C"/>
    <w:rsid w:val="15AF385B"/>
    <w:rsid w:val="15C3657D"/>
    <w:rsid w:val="15CA4090"/>
    <w:rsid w:val="15ED748E"/>
    <w:rsid w:val="15F1786F"/>
    <w:rsid w:val="160C46A9"/>
    <w:rsid w:val="16201F02"/>
    <w:rsid w:val="163D1F3A"/>
    <w:rsid w:val="16414AC9"/>
    <w:rsid w:val="167C0AF5"/>
    <w:rsid w:val="167C76AF"/>
    <w:rsid w:val="16A14FAE"/>
    <w:rsid w:val="16FF3D15"/>
    <w:rsid w:val="17024379"/>
    <w:rsid w:val="17263548"/>
    <w:rsid w:val="17755202"/>
    <w:rsid w:val="1776370C"/>
    <w:rsid w:val="17832749"/>
    <w:rsid w:val="17CF3BE0"/>
    <w:rsid w:val="182746B0"/>
    <w:rsid w:val="186C7681"/>
    <w:rsid w:val="18786026"/>
    <w:rsid w:val="188C4113"/>
    <w:rsid w:val="189E5E26"/>
    <w:rsid w:val="18D04606"/>
    <w:rsid w:val="18D70F9E"/>
    <w:rsid w:val="18FA5B52"/>
    <w:rsid w:val="19001DBB"/>
    <w:rsid w:val="19053D5D"/>
    <w:rsid w:val="190D676E"/>
    <w:rsid w:val="191A46EE"/>
    <w:rsid w:val="193D5CAC"/>
    <w:rsid w:val="19600F94"/>
    <w:rsid w:val="19647370"/>
    <w:rsid w:val="19C83B53"/>
    <w:rsid w:val="19DE1C05"/>
    <w:rsid w:val="19EB0A7A"/>
    <w:rsid w:val="1A185E2C"/>
    <w:rsid w:val="1A3C6E09"/>
    <w:rsid w:val="1A657CD8"/>
    <w:rsid w:val="1A741F99"/>
    <w:rsid w:val="1AA97D25"/>
    <w:rsid w:val="1AAC1FB7"/>
    <w:rsid w:val="1B1F49AA"/>
    <w:rsid w:val="1B3A2998"/>
    <w:rsid w:val="1B416BA3"/>
    <w:rsid w:val="1B610FF3"/>
    <w:rsid w:val="1B87260E"/>
    <w:rsid w:val="1B9916E8"/>
    <w:rsid w:val="1BF956CF"/>
    <w:rsid w:val="1BFD0D5D"/>
    <w:rsid w:val="1C0C5403"/>
    <w:rsid w:val="1C511068"/>
    <w:rsid w:val="1C7D1E5D"/>
    <w:rsid w:val="1C9D0478"/>
    <w:rsid w:val="1CA464D8"/>
    <w:rsid w:val="1CB03FE0"/>
    <w:rsid w:val="1CB304A3"/>
    <w:rsid w:val="1CD07137"/>
    <w:rsid w:val="1CE76D4F"/>
    <w:rsid w:val="1CF12CD2"/>
    <w:rsid w:val="1D3320C5"/>
    <w:rsid w:val="1D3772E3"/>
    <w:rsid w:val="1D3F5364"/>
    <w:rsid w:val="1D9C6C71"/>
    <w:rsid w:val="1DBF4066"/>
    <w:rsid w:val="1DC0096E"/>
    <w:rsid w:val="1DD02C25"/>
    <w:rsid w:val="1DFB32CC"/>
    <w:rsid w:val="1E085F02"/>
    <w:rsid w:val="1E2F53D8"/>
    <w:rsid w:val="1E304C77"/>
    <w:rsid w:val="1E605592"/>
    <w:rsid w:val="1E764DB5"/>
    <w:rsid w:val="1E7E7378"/>
    <w:rsid w:val="1EEE0DF0"/>
    <w:rsid w:val="1F026649"/>
    <w:rsid w:val="1F0529C7"/>
    <w:rsid w:val="1F091FF2"/>
    <w:rsid w:val="1F172B9E"/>
    <w:rsid w:val="1F291E28"/>
    <w:rsid w:val="1F6B68E4"/>
    <w:rsid w:val="1F8615BF"/>
    <w:rsid w:val="1F93095F"/>
    <w:rsid w:val="1FB449F5"/>
    <w:rsid w:val="1FC01B05"/>
    <w:rsid w:val="1FD06747"/>
    <w:rsid w:val="1FE64151"/>
    <w:rsid w:val="1FEA7927"/>
    <w:rsid w:val="1FFE5062"/>
    <w:rsid w:val="201C373B"/>
    <w:rsid w:val="20220D88"/>
    <w:rsid w:val="202D724A"/>
    <w:rsid w:val="20432E03"/>
    <w:rsid w:val="20556493"/>
    <w:rsid w:val="20703AC9"/>
    <w:rsid w:val="20CE5700"/>
    <w:rsid w:val="20CE712B"/>
    <w:rsid w:val="20E701EC"/>
    <w:rsid w:val="21366A7E"/>
    <w:rsid w:val="216C51F8"/>
    <w:rsid w:val="21705735"/>
    <w:rsid w:val="218872DA"/>
    <w:rsid w:val="21A659B2"/>
    <w:rsid w:val="21EC1864"/>
    <w:rsid w:val="2211172D"/>
    <w:rsid w:val="222F5C4D"/>
    <w:rsid w:val="22456F98"/>
    <w:rsid w:val="22694276"/>
    <w:rsid w:val="22853AE2"/>
    <w:rsid w:val="22870E4F"/>
    <w:rsid w:val="22886585"/>
    <w:rsid w:val="22A243CB"/>
    <w:rsid w:val="233E4325"/>
    <w:rsid w:val="23610B8C"/>
    <w:rsid w:val="23623B5A"/>
    <w:rsid w:val="23767E36"/>
    <w:rsid w:val="23DC390D"/>
    <w:rsid w:val="23DC56BB"/>
    <w:rsid w:val="23E812A0"/>
    <w:rsid w:val="241155A9"/>
    <w:rsid w:val="241D716E"/>
    <w:rsid w:val="244412FB"/>
    <w:rsid w:val="2472524B"/>
    <w:rsid w:val="24AD2EBF"/>
    <w:rsid w:val="24BB5C18"/>
    <w:rsid w:val="253902A6"/>
    <w:rsid w:val="253F05F7"/>
    <w:rsid w:val="25494FD2"/>
    <w:rsid w:val="254A0D4A"/>
    <w:rsid w:val="254B358D"/>
    <w:rsid w:val="25517C49"/>
    <w:rsid w:val="256E6DFD"/>
    <w:rsid w:val="257F09F3"/>
    <w:rsid w:val="25891872"/>
    <w:rsid w:val="25A641D2"/>
    <w:rsid w:val="25B60EA7"/>
    <w:rsid w:val="25B678EC"/>
    <w:rsid w:val="25B736EC"/>
    <w:rsid w:val="25CC7C14"/>
    <w:rsid w:val="25F767DC"/>
    <w:rsid w:val="25F80363"/>
    <w:rsid w:val="2613091A"/>
    <w:rsid w:val="26153106"/>
    <w:rsid w:val="262D48F3"/>
    <w:rsid w:val="264D0AF2"/>
    <w:rsid w:val="265909F3"/>
    <w:rsid w:val="26B33519"/>
    <w:rsid w:val="26BB5A5B"/>
    <w:rsid w:val="26DC3C24"/>
    <w:rsid w:val="26E0066E"/>
    <w:rsid w:val="26E81DCB"/>
    <w:rsid w:val="26FE3B9A"/>
    <w:rsid w:val="273571C2"/>
    <w:rsid w:val="275A75F4"/>
    <w:rsid w:val="275E50DA"/>
    <w:rsid w:val="27621A0B"/>
    <w:rsid w:val="279E7B84"/>
    <w:rsid w:val="27B103DE"/>
    <w:rsid w:val="27CE17BE"/>
    <w:rsid w:val="27DC4161"/>
    <w:rsid w:val="28302479"/>
    <w:rsid w:val="285445B2"/>
    <w:rsid w:val="286A6C87"/>
    <w:rsid w:val="28D24D9C"/>
    <w:rsid w:val="28F25980"/>
    <w:rsid w:val="28FE7045"/>
    <w:rsid w:val="2941798C"/>
    <w:rsid w:val="294C5129"/>
    <w:rsid w:val="295C70D0"/>
    <w:rsid w:val="295E4EA3"/>
    <w:rsid w:val="296E3259"/>
    <w:rsid w:val="296F6FD1"/>
    <w:rsid w:val="29C70BBB"/>
    <w:rsid w:val="29CD4E78"/>
    <w:rsid w:val="29E4351B"/>
    <w:rsid w:val="2A1A0CEB"/>
    <w:rsid w:val="2A24600D"/>
    <w:rsid w:val="2A305480"/>
    <w:rsid w:val="2A4E6005"/>
    <w:rsid w:val="2A8F70B0"/>
    <w:rsid w:val="2A9C3DF6"/>
    <w:rsid w:val="2AE43776"/>
    <w:rsid w:val="2B06015E"/>
    <w:rsid w:val="2B1D5459"/>
    <w:rsid w:val="2B276CB6"/>
    <w:rsid w:val="2B4F4ECF"/>
    <w:rsid w:val="2B6F284F"/>
    <w:rsid w:val="2BA74026"/>
    <w:rsid w:val="2C2263B3"/>
    <w:rsid w:val="2C9C2F72"/>
    <w:rsid w:val="2CB52F4D"/>
    <w:rsid w:val="2CC15D7F"/>
    <w:rsid w:val="2CD47877"/>
    <w:rsid w:val="2CE83322"/>
    <w:rsid w:val="2D141CF6"/>
    <w:rsid w:val="2D502872"/>
    <w:rsid w:val="2D764930"/>
    <w:rsid w:val="2D984126"/>
    <w:rsid w:val="2DB31BE6"/>
    <w:rsid w:val="2DBB0516"/>
    <w:rsid w:val="2DBE22D5"/>
    <w:rsid w:val="2E0A4375"/>
    <w:rsid w:val="2E0C3040"/>
    <w:rsid w:val="2E0D52BF"/>
    <w:rsid w:val="2E35623B"/>
    <w:rsid w:val="2E39285A"/>
    <w:rsid w:val="2E4E3659"/>
    <w:rsid w:val="2E505623"/>
    <w:rsid w:val="2E6740D2"/>
    <w:rsid w:val="2E6A7D67"/>
    <w:rsid w:val="2E754C17"/>
    <w:rsid w:val="2E960B5C"/>
    <w:rsid w:val="2EBA6F40"/>
    <w:rsid w:val="2EC138D2"/>
    <w:rsid w:val="2ED8288A"/>
    <w:rsid w:val="2EE205A6"/>
    <w:rsid w:val="2EEB317F"/>
    <w:rsid w:val="2F18216E"/>
    <w:rsid w:val="2F1E127D"/>
    <w:rsid w:val="2F2969EB"/>
    <w:rsid w:val="2F401502"/>
    <w:rsid w:val="2F462582"/>
    <w:rsid w:val="2F5673B3"/>
    <w:rsid w:val="2F597F13"/>
    <w:rsid w:val="2F714B04"/>
    <w:rsid w:val="2F920A3A"/>
    <w:rsid w:val="2FA15BFA"/>
    <w:rsid w:val="2FED3439"/>
    <w:rsid w:val="2FFB71AB"/>
    <w:rsid w:val="300246FB"/>
    <w:rsid w:val="300458E4"/>
    <w:rsid w:val="30064FDA"/>
    <w:rsid w:val="303773D1"/>
    <w:rsid w:val="30793AE8"/>
    <w:rsid w:val="30B55C11"/>
    <w:rsid w:val="30CB0F91"/>
    <w:rsid w:val="30D77936"/>
    <w:rsid w:val="31165933"/>
    <w:rsid w:val="31342FDA"/>
    <w:rsid w:val="313C59EB"/>
    <w:rsid w:val="316E7428"/>
    <w:rsid w:val="3175714F"/>
    <w:rsid w:val="319B3695"/>
    <w:rsid w:val="31BF0E0A"/>
    <w:rsid w:val="31D976DD"/>
    <w:rsid w:val="31F14A27"/>
    <w:rsid w:val="32164205"/>
    <w:rsid w:val="322546D1"/>
    <w:rsid w:val="32332253"/>
    <w:rsid w:val="324271A8"/>
    <w:rsid w:val="327A0EC0"/>
    <w:rsid w:val="329D4BAF"/>
    <w:rsid w:val="32D10F12"/>
    <w:rsid w:val="331D35FA"/>
    <w:rsid w:val="332C1A8F"/>
    <w:rsid w:val="333B777A"/>
    <w:rsid w:val="333F226C"/>
    <w:rsid w:val="33895977"/>
    <w:rsid w:val="339A2E9C"/>
    <w:rsid w:val="33A51F6D"/>
    <w:rsid w:val="33C26030"/>
    <w:rsid w:val="33C547A5"/>
    <w:rsid w:val="33FB393B"/>
    <w:rsid w:val="34526CBA"/>
    <w:rsid w:val="345A580A"/>
    <w:rsid w:val="34B22DB1"/>
    <w:rsid w:val="34E42564"/>
    <w:rsid w:val="34EA61B8"/>
    <w:rsid w:val="34F12F90"/>
    <w:rsid w:val="34F82570"/>
    <w:rsid w:val="3518676F"/>
    <w:rsid w:val="35201A23"/>
    <w:rsid w:val="352E500F"/>
    <w:rsid w:val="355434F9"/>
    <w:rsid w:val="35727A6C"/>
    <w:rsid w:val="35843E04"/>
    <w:rsid w:val="35B540D6"/>
    <w:rsid w:val="35BE0BED"/>
    <w:rsid w:val="35C66E2C"/>
    <w:rsid w:val="35CA2312"/>
    <w:rsid w:val="35F76384"/>
    <w:rsid w:val="360F1920"/>
    <w:rsid w:val="361938E0"/>
    <w:rsid w:val="362F5E73"/>
    <w:rsid w:val="36413AA3"/>
    <w:rsid w:val="364C6C07"/>
    <w:rsid w:val="366A124C"/>
    <w:rsid w:val="36B129D7"/>
    <w:rsid w:val="36C144C3"/>
    <w:rsid w:val="372633C5"/>
    <w:rsid w:val="377C4EB7"/>
    <w:rsid w:val="385F275A"/>
    <w:rsid w:val="3885411B"/>
    <w:rsid w:val="388C7CC2"/>
    <w:rsid w:val="38B92676"/>
    <w:rsid w:val="38C23C8C"/>
    <w:rsid w:val="38DC28FD"/>
    <w:rsid w:val="390A63CE"/>
    <w:rsid w:val="394D1ECD"/>
    <w:rsid w:val="3951224F"/>
    <w:rsid w:val="396A50BF"/>
    <w:rsid w:val="39B20761"/>
    <w:rsid w:val="39D37108"/>
    <w:rsid w:val="39F257E0"/>
    <w:rsid w:val="3A1C1BAF"/>
    <w:rsid w:val="3A1F1997"/>
    <w:rsid w:val="3A282A5D"/>
    <w:rsid w:val="3A7129B2"/>
    <w:rsid w:val="3A777A93"/>
    <w:rsid w:val="3AD4138A"/>
    <w:rsid w:val="3AE758D2"/>
    <w:rsid w:val="3AF61300"/>
    <w:rsid w:val="3AF8151D"/>
    <w:rsid w:val="3B096510"/>
    <w:rsid w:val="3B2E0A9A"/>
    <w:rsid w:val="3B320CFA"/>
    <w:rsid w:val="3B3377A5"/>
    <w:rsid w:val="3B361C73"/>
    <w:rsid w:val="3B414529"/>
    <w:rsid w:val="3B47240E"/>
    <w:rsid w:val="3B5A188F"/>
    <w:rsid w:val="3B7C2F21"/>
    <w:rsid w:val="3B895CD0"/>
    <w:rsid w:val="3B8A41D3"/>
    <w:rsid w:val="3BC00DC4"/>
    <w:rsid w:val="3C243C4B"/>
    <w:rsid w:val="3C4D6CFE"/>
    <w:rsid w:val="3C651D50"/>
    <w:rsid w:val="3C8666FD"/>
    <w:rsid w:val="3CA523B3"/>
    <w:rsid w:val="3CAF79B9"/>
    <w:rsid w:val="3CF7310E"/>
    <w:rsid w:val="3CFD709B"/>
    <w:rsid w:val="3D0870C9"/>
    <w:rsid w:val="3D3103CE"/>
    <w:rsid w:val="3D4041F2"/>
    <w:rsid w:val="3D6F7148"/>
    <w:rsid w:val="3D734E8A"/>
    <w:rsid w:val="3D805368"/>
    <w:rsid w:val="3D820C29"/>
    <w:rsid w:val="3D897E06"/>
    <w:rsid w:val="3DB57993"/>
    <w:rsid w:val="3DF132CA"/>
    <w:rsid w:val="3E103B9E"/>
    <w:rsid w:val="3E2829E9"/>
    <w:rsid w:val="3E3C527C"/>
    <w:rsid w:val="3E5113D8"/>
    <w:rsid w:val="3E832EAB"/>
    <w:rsid w:val="3EBE76C5"/>
    <w:rsid w:val="3ECC22A5"/>
    <w:rsid w:val="3EDB2CE7"/>
    <w:rsid w:val="3F1E0E25"/>
    <w:rsid w:val="3F324E7C"/>
    <w:rsid w:val="3F3917BB"/>
    <w:rsid w:val="3F3E1D92"/>
    <w:rsid w:val="3F3E3276"/>
    <w:rsid w:val="3F8C3FE1"/>
    <w:rsid w:val="3FA70E1B"/>
    <w:rsid w:val="3FB452E6"/>
    <w:rsid w:val="3FB5178A"/>
    <w:rsid w:val="3FF744E4"/>
    <w:rsid w:val="40077B0C"/>
    <w:rsid w:val="40290860"/>
    <w:rsid w:val="40297A82"/>
    <w:rsid w:val="403D54CD"/>
    <w:rsid w:val="406D41CF"/>
    <w:rsid w:val="407707ED"/>
    <w:rsid w:val="408028ED"/>
    <w:rsid w:val="40C7284E"/>
    <w:rsid w:val="40D95004"/>
    <w:rsid w:val="40F13E3D"/>
    <w:rsid w:val="40FB5C66"/>
    <w:rsid w:val="41212AAF"/>
    <w:rsid w:val="4148218A"/>
    <w:rsid w:val="41597EF3"/>
    <w:rsid w:val="4178455B"/>
    <w:rsid w:val="41864339"/>
    <w:rsid w:val="418C2076"/>
    <w:rsid w:val="41A41AB6"/>
    <w:rsid w:val="41B0748D"/>
    <w:rsid w:val="41B873F1"/>
    <w:rsid w:val="41BB6E00"/>
    <w:rsid w:val="41CF3C5E"/>
    <w:rsid w:val="41E874E1"/>
    <w:rsid w:val="41FB71FC"/>
    <w:rsid w:val="423257B2"/>
    <w:rsid w:val="42440BA3"/>
    <w:rsid w:val="424D3EFC"/>
    <w:rsid w:val="4253528A"/>
    <w:rsid w:val="425D1BF0"/>
    <w:rsid w:val="426A68F1"/>
    <w:rsid w:val="426B29F2"/>
    <w:rsid w:val="426D375C"/>
    <w:rsid w:val="42754E3B"/>
    <w:rsid w:val="42815953"/>
    <w:rsid w:val="42A35E1F"/>
    <w:rsid w:val="42B6714C"/>
    <w:rsid w:val="42E414A5"/>
    <w:rsid w:val="42ED38B0"/>
    <w:rsid w:val="430239C6"/>
    <w:rsid w:val="430C466C"/>
    <w:rsid w:val="435F025C"/>
    <w:rsid w:val="43676230"/>
    <w:rsid w:val="442716E3"/>
    <w:rsid w:val="442A3DC9"/>
    <w:rsid w:val="44316131"/>
    <w:rsid w:val="443A04B0"/>
    <w:rsid w:val="445B0426"/>
    <w:rsid w:val="44623B29"/>
    <w:rsid w:val="448259B3"/>
    <w:rsid w:val="44AC6153"/>
    <w:rsid w:val="44C24001"/>
    <w:rsid w:val="44CB7E92"/>
    <w:rsid w:val="44D37FBC"/>
    <w:rsid w:val="44D53D34"/>
    <w:rsid w:val="44D81267"/>
    <w:rsid w:val="44DD1721"/>
    <w:rsid w:val="45014B29"/>
    <w:rsid w:val="45260A34"/>
    <w:rsid w:val="452D3B70"/>
    <w:rsid w:val="45303661"/>
    <w:rsid w:val="4551727C"/>
    <w:rsid w:val="45653B06"/>
    <w:rsid w:val="45675307"/>
    <w:rsid w:val="4574425A"/>
    <w:rsid w:val="457C0654"/>
    <w:rsid w:val="458B0897"/>
    <w:rsid w:val="458D6DA1"/>
    <w:rsid w:val="458F2670"/>
    <w:rsid w:val="45B002FD"/>
    <w:rsid w:val="45E82159"/>
    <w:rsid w:val="45ED0F61"/>
    <w:rsid w:val="45FB77CB"/>
    <w:rsid w:val="460C19D8"/>
    <w:rsid w:val="465A0995"/>
    <w:rsid w:val="46767799"/>
    <w:rsid w:val="46B5206F"/>
    <w:rsid w:val="46CA0775"/>
    <w:rsid w:val="46D53D73"/>
    <w:rsid w:val="471825FE"/>
    <w:rsid w:val="4727514F"/>
    <w:rsid w:val="47451645"/>
    <w:rsid w:val="475036EC"/>
    <w:rsid w:val="476304E5"/>
    <w:rsid w:val="48221986"/>
    <w:rsid w:val="482E0AEB"/>
    <w:rsid w:val="483D1893"/>
    <w:rsid w:val="4840005F"/>
    <w:rsid w:val="48407E8B"/>
    <w:rsid w:val="48492B5E"/>
    <w:rsid w:val="485633DE"/>
    <w:rsid w:val="486A70F8"/>
    <w:rsid w:val="48941C0A"/>
    <w:rsid w:val="48D016B1"/>
    <w:rsid w:val="48EB621C"/>
    <w:rsid w:val="48EF63BC"/>
    <w:rsid w:val="48F03833"/>
    <w:rsid w:val="49143FE3"/>
    <w:rsid w:val="49410045"/>
    <w:rsid w:val="497B5EAF"/>
    <w:rsid w:val="49BB5BEF"/>
    <w:rsid w:val="49E550B8"/>
    <w:rsid w:val="4A0F1D6B"/>
    <w:rsid w:val="4A304D72"/>
    <w:rsid w:val="4ABD50B2"/>
    <w:rsid w:val="4ADA08DD"/>
    <w:rsid w:val="4AEE5B50"/>
    <w:rsid w:val="4AF53CDA"/>
    <w:rsid w:val="4B302190"/>
    <w:rsid w:val="4B316AE7"/>
    <w:rsid w:val="4B4B4D50"/>
    <w:rsid w:val="4B8D7117"/>
    <w:rsid w:val="4B920BD1"/>
    <w:rsid w:val="4BC863A1"/>
    <w:rsid w:val="4BCD1E1A"/>
    <w:rsid w:val="4C0D05F0"/>
    <w:rsid w:val="4C2F01CE"/>
    <w:rsid w:val="4C327CBE"/>
    <w:rsid w:val="4C336232"/>
    <w:rsid w:val="4C4D68A6"/>
    <w:rsid w:val="4C5440D8"/>
    <w:rsid w:val="4C5B1CC0"/>
    <w:rsid w:val="4C6063F0"/>
    <w:rsid w:val="4CDE25B8"/>
    <w:rsid w:val="4D031C9B"/>
    <w:rsid w:val="4D237C5B"/>
    <w:rsid w:val="4D245859"/>
    <w:rsid w:val="4D4C4DB0"/>
    <w:rsid w:val="4D567F0A"/>
    <w:rsid w:val="4D6E195B"/>
    <w:rsid w:val="4D882C83"/>
    <w:rsid w:val="4DB33731"/>
    <w:rsid w:val="4DB34E9F"/>
    <w:rsid w:val="4DD45985"/>
    <w:rsid w:val="4DDE57A5"/>
    <w:rsid w:val="4DE4323A"/>
    <w:rsid w:val="4DED5CE9"/>
    <w:rsid w:val="4E015B9A"/>
    <w:rsid w:val="4E040F77"/>
    <w:rsid w:val="4E0D2791"/>
    <w:rsid w:val="4E2528C4"/>
    <w:rsid w:val="4E323FA5"/>
    <w:rsid w:val="4E381FE7"/>
    <w:rsid w:val="4E3E294A"/>
    <w:rsid w:val="4E4361B3"/>
    <w:rsid w:val="4E7D3760"/>
    <w:rsid w:val="4E8263F6"/>
    <w:rsid w:val="4EF15C0F"/>
    <w:rsid w:val="4F0478A8"/>
    <w:rsid w:val="4F0E4A13"/>
    <w:rsid w:val="4F245FE4"/>
    <w:rsid w:val="4F5616DF"/>
    <w:rsid w:val="4F570614"/>
    <w:rsid w:val="4F7A3E56"/>
    <w:rsid w:val="4F7E3AF1"/>
    <w:rsid w:val="4FAB67F2"/>
    <w:rsid w:val="4FC81DBA"/>
    <w:rsid w:val="4FE062C8"/>
    <w:rsid w:val="4FF260E2"/>
    <w:rsid w:val="50083210"/>
    <w:rsid w:val="501047BA"/>
    <w:rsid w:val="50236B06"/>
    <w:rsid w:val="50493828"/>
    <w:rsid w:val="5051384E"/>
    <w:rsid w:val="50792360"/>
    <w:rsid w:val="507C1E50"/>
    <w:rsid w:val="508D7BB9"/>
    <w:rsid w:val="50932863"/>
    <w:rsid w:val="50A92418"/>
    <w:rsid w:val="50C64757"/>
    <w:rsid w:val="50E04186"/>
    <w:rsid w:val="50FD6AED"/>
    <w:rsid w:val="51145BE4"/>
    <w:rsid w:val="511A7AB0"/>
    <w:rsid w:val="512E2388"/>
    <w:rsid w:val="51801680"/>
    <w:rsid w:val="51AE428B"/>
    <w:rsid w:val="51CF2578"/>
    <w:rsid w:val="51D44165"/>
    <w:rsid w:val="51D82289"/>
    <w:rsid w:val="51E101BC"/>
    <w:rsid w:val="522600D8"/>
    <w:rsid w:val="5230624E"/>
    <w:rsid w:val="524B7D2C"/>
    <w:rsid w:val="525E7F64"/>
    <w:rsid w:val="528B597C"/>
    <w:rsid w:val="52A031D1"/>
    <w:rsid w:val="52A92912"/>
    <w:rsid w:val="52B24B47"/>
    <w:rsid w:val="52B3031A"/>
    <w:rsid w:val="52BA1516"/>
    <w:rsid w:val="52D33D8B"/>
    <w:rsid w:val="52DD4E28"/>
    <w:rsid w:val="52EF06B7"/>
    <w:rsid w:val="531039DD"/>
    <w:rsid w:val="53180D32"/>
    <w:rsid w:val="53807F59"/>
    <w:rsid w:val="53966D81"/>
    <w:rsid w:val="53C77F81"/>
    <w:rsid w:val="5422686A"/>
    <w:rsid w:val="54931516"/>
    <w:rsid w:val="549A6B3D"/>
    <w:rsid w:val="549C03CB"/>
    <w:rsid w:val="54C469B0"/>
    <w:rsid w:val="54E35FFA"/>
    <w:rsid w:val="54F71AA5"/>
    <w:rsid w:val="551254D1"/>
    <w:rsid w:val="55164621"/>
    <w:rsid w:val="55184EF2"/>
    <w:rsid w:val="557F5C64"/>
    <w:rsid w:val="55BD4A9D"/>
    <w:rsid w:val="55CE5FAF"/>
    <w:rsid w:val="55D65B5E"/>
    <w:rsid w:val="55FF50B5"/>
    <w:rsid w:val="56026953"/>
    <w:rsid w:val="563E671E"/>
    <w:rsid w:val="5647080A"/>
    <w:rsid w:val="56695122"/>
    <w:rsid w:val="566B44F9"/>
    <w:rsid w:val="567C6706"/>
    <w:rsid w:val="568D4A8B"/>
    <w:rsid w:val="56AD68BF"/>
    <w:rsid w:val="56E322E1"/>
    <w:rsid w:val="56F01ECB"/>
    <w:rsid w:val="56F72C39"/>
    <w:rsid w:val="57265724"/>
    <w:rsid w:val="572A7F8A"/>
    <w:rsid w:val="5741059C"/>
    <w:rsid w:val="57821C5F"/>
    <w:rsid w:val="5787376C"/>
    <w:rsid w:val="57A1017F"/>
    <w:rsid w:val="57AF445C"/>
    <w:rsid w:val="57C2283E"/>
    <w:rsid w:val="57EC71D5"/>
    <w:rsid w:val="581A249A"/>
    <w:rsid w:val="58340631"/>
    <w:rsid w:val="58810003"/>
    <w:rsid w:val="588621CE"/>
    <w:rsid w:val="588927B2"/>
    <w:rsid w:val="58A14202"/>
    <w:rsid w:val="58A43CF2"/>
    <w:rsid w:val="58AC03AC"/>
    <w:rsid w:val="58B3037A"/>
    <w:rsid w:val="5906675A"/>
    <w:rsid w:val="593212FE"/>
    <w:rsid w:val="593432C8"/>
    <w:rsid w:val="59350DEE"/>
    <w:rsid w:val="596A327B"/>
    <w:rsid w:val="598F3C15"/>
    <w:rsid w:val="59A44AE5"/>
    <w:rsid w:val="59C43179"/>
    <w:rsid w:val="59E21F44"/>
    <w:rsid w:val="59EF7044"/>
    <w:rsid w:val="59FB5B93"/>
    <w:rsid w:val="5A1256BA"/>
    <w:rsid w:val="5A1B2694"/>
    <w:rsid w:val="5A736D06"/>
    <w:rsid w:val="5A821E11"/>
    <w:rsid w:val="5AB0697E"/>
    <w:rsid w:val="5AB51CCA"/>
    <w:rsid w:val="5AB57322"/>
    <w:rsid w:val="5AB86B82"/>
    <w:rsid w:val="5ABC62B9"/>
    <w:rsid w:val="5ADF7263"/>
    <w:rsid w:val="5AEB6933"/>
    <w:rsid w:val="5AED4C1B"/>
    <w:rsid w:val="5B2D4472"/>
    <w:rsid w:val="5BA52831"/>
    <w:rsid w:val="5BB029AE"/>
    <w:rsid w:val="5BC0596D"/>
    <w:rsid w:val="5BE5635E"/>
    <w:rsid w:val="5BE74621"/>
    <w:rsid w:val="5C03587B"/>
    <w:rsid w:val="5C082ED9"/>
    <w:rsid w:val="5C453255"/>
    <w:rsid w:val="5C4750C0"/>
    <w:rsid w:val="5C4805D9"/>
    <w:rsid w:val="5C482D1B"/>
    <w:rsid w:val="5C7236C4"/>
    <w:rsid w:val="5C8C4DD7"/>
    <w:rsid w:val="5C8E7193"/>
    <w:rsid w:val="5CAD7A90"/>
    <w:rsid w:val="5CB82BDC"/>
    <w:rsid w:val="5CBA0A27"/>
    <w:rsid w:val="5CCC1A69"/>
    <w:rsid w:val="5CE24F97"/>
    <w:rsid w:val="5CEC3B27"/>
    <w:rsid w:val="5D047455"/>
    <w:rsid w:val="5D656145"/>
    <w:rsid w:val="5D804893"/>
    <w:rsid w:val="5DA53F1B"/>
    <w:rsid w:val="5DA54794"/>
    <w:rsid w:val="5DC63FF9"/>
    <w:rsid w:val="5E96232F"/>
    <w:rsid w:val="5F13397F"/>
    <w:rsid w:val="5F4571B2"/>
    <w:rsid w:val="5F4F2373"/>
    <w:rsid w:val="5F6A078D"/>
    <w:rsid w:val="5F93061C"/>
    <w:rsid w:val="5F9A7BFD"/>
    <w:rsid w:val="5FA23A48"/>
    <w:rsid w:val="5FB36CBE"/>
    <w:rsid w:val="5FC627A0"/>
    <w:rsid w:val="5FD076A0"/>
    <w:rsid w:val="5FD07ABA"/>
    <w:rsid w:val="5FDE7373"/>
    <w:rsid w:val="5FED36FB"/>
    <w:rsid w:val="60561D75"/>
    <w:rsid w:val="606F72DB"/>
    <w:rsid w:val="60873932"/>
    <w:rsid w:val="60A32AE1"/>
    <w:rsid w:val="60B834A6"/>
    <w:rsid w:val="60BC5E8F"/>
    <w:rsid w:val="60C170FF"/>
    <w:rsid w:val="60CC0666"/>
    <w:rsid w:val="60E17F6F"/>
    <w:rsid w:val="610E27AB"/>
    <w:rsid w:val="611511C3"/>
    <w:rsid w:val="61393910"/>
    <w:rsid w:val="614F1476"/>
    <w:rsid w:val="61710A64"/>
    <w:rsid w:val="61750921"/>
    <w:rsid w:val="61C111BB"/>
    <w:rsid w:val="61D84352"/>
    <w:rsid w:val="61DA4AD9"/>
    <w:rsid w:val="61F335F4"/>
    <w:rsid w:val="62031A89"/>
    <w:rsid w:val="622F0AD0"/>
    <w:rsid w:val="623D3E1F"/>
    <w:rsid w:val="62626313"/>
    <w:rsid w:val="629D4803"/>
    <w:rsid w:val="62AE498D"/>
    <w:rsid w:val="62ED1A72"/>
    <w:rsid w:val="637F5A87"/>
    <w:rsid w:val="638048A2"/>
    <w:rsid w:val="638A2399"/>
    <w:rsid w:val="63C86BF3"/>
    <w:rsid w:val="63D57455"/>
    <w:rsid w:val="63E84212"/>
    <w:rsid w:val="63EF2CB1"/>
    <w:rsid w:val="63EF49BB"/>
    <w:rsid w:val="63F74842"/>
    <w:rsid w:val="63FF44D2"/>
    <w:rsid w:val="64077840"/>
    <w:rsid w:val="641504F8"/>
    <w:rsid w:val="64601415"/>
    <w:rsid w:val="64774677"/>
    <w:rsid w:val="64AB0CD1"/>
    <w:rsid w:val="64B4350F"/>
    <w:rsid w:val="64C96613"/>
    <w:rsid w:val="64D84E1A"/>
    <w:rsid w:val="65312DB1"/>
    <w:rsid w:val="6548252F"/>
    <w:rsid w:val="6558033E"/>
    <w:rsid w:val="656606E0"/>
    <w:rsid w:val="65675ED4"/>
    <w:rsid w:val="657C03FE"/>
    <w:rsid w:val="65831F0E"/>
    <w:rsid w:val="658C2053"/>
    <w:rsid w:val="65EB11B2"/>
    <w:rsid w:val="66576847"/>
    <w:rsid w:val="66672543"/>
    <w:rsid w:val="6683497C"/>
    <w:rsid w:val="669B2BD8"/>
    <w:rsid w:val="66B21CD0"/>
    <w:rsid w:val="66CD13E8"/>
    <w:rsid w:val="66D734E4"/>
    <w:rsid w:val="66E872A7"/>
    <w:rsid w:val="676E5CC7"/>
    <w:rsid w:val="67E14BAB"/>
    <w:rsid w:val="67EE0AE5"/>
    <w:rsid w:val="67F71E56"/>
    <w:rsid w:val="683A3D2B"/>
    <w:rsid w:val="684C44B3"/>
    <w:rsid w:val="68880F3A"/>
    <w:rsid w:val="690F1726"/>
    <w:rsid w:val="691922CA"/>
    <w:rsid w:val="693C3AD3"/>
    <w:rsid w:val="6942765C"/>
    <w:rsid w:val="696E0130"/>
    <w:rsid w:val="69D8608D"/>
    <w:rsid w:val="69EC54F9"/>
    <w:rsid w:val="6A260A0B"/>
    <w:rsid w:val="6A2D5CB0"/>
    <w:rsid w:val="6A4D2110"/>
    <w:rsid w:val="6A663992"/>
    <w:rsid w:val="6A7D0A56"/>
    <w:rsid w:val="6A922385"/>
    <w:rsid w:val="6AB10CF8"/>
    <w:rsid w:val="6ABA6C3B"/>
    <w:rsid w:val="6B4078AA"/>
    <w:rsid w:val="6B4663C9"/>
    <w:rsid w:val="6B7B7F55"/>
    <w:rsid w:val="6B916358"/>
    <w:rsid w:val="6B981494"/>
    <w:rsid w:val="6BA57CEF"/>
    <w:rsid w:val="6BB90159"/>
    <w:rsid w:val="6BCC3834"/>
    <w:rsid w:val="6BD84130"/>
    <w:rsid w:val="6BF1329A"/>
    <w:rsid w:val="6C111246"/>
    <w:rsid w:val="6C124248"/>
    <w:rsid w:val="6C661592"/>
    <w:rsid w:val="6C6B059F"/>
    <w:rsid w:val="6C6B6BA9"/>
    <w:rsid w:val="6C8E6D3B"/>
    <w:rsid w:val="6C9555FE"/>
    <w:rsid w:val="6C97605D"/>
    <w:rsid w:val="6C9F4AA4"/>
    <w:rsid w:val="6CA00B62"/>
    <w:rsid w:val="6CBD4F2A"/>
    <w:rsid w:val="6CFE27E3"/>
    <w:rsid w:val="6D274D94"/>
    <w:rsid w:val="6D6655C2"/>
    <w:rsid w:val="6D7B2E1B"/>
    <w:rsid w:val="6D8C026B"/>
    <w:rsid w:val="6D955447"/>
    <w:rsid w:val="6D9E0D2D"/>
    <w:rsid w:val="6D9E2EF6"/>
    <w:rsid w:val="6DAD3879"/>
    <w:rsid w:val="6DD01AB0"/>
    <w:rsid w:val="6DD16EDF"/>
    <w:rsid w:val="6DD857F0"/>
    <w:rsid w:val="6DE94229"/>
    <w:rsid w:val="6DEB139F"/>
    <w:rsid w:val="6DF350A8"/>
    <w:rsid w:val="6E160D96"/>
    <w:rsid w:val="6E1D5C43"/>
    <w:rsid w:val="6E494CC8"/>
    <w:rsid w:val="6E4A3AA9"/>
    <w:rsid w:val="6E557B10"/>
    <w:rsid w:val="6E62222D"/>
    <w:rsid w:val="6E741A47"/>
    <w:rsid w:val="6E846891"/>
    <w:rsid w:val="6E8B3FD1"/>
    <w:rsid w:val="6E9D5013"/>
    <w:rsid w:val="6E9E14B7"/>
    <w:rsid w:val="6EB34837"/>
    <w:rsid w:val="6EC73382"/>
    <w:rsid w:val="6EDB181C"/>
    <w:rsid w:val="6F0843FC"/>
    <w:rsid w:val="6F0B01CF"/>
    <w:rsid w:val="6F0C014F"/>
    <w:rsid w:val="6F0D11E7"/>
    <w:rsid w:val="6F1D644C"/>
    <w:rsid w:val="6F4D02A4"/>
    <w:rsid w:val="6F4F630E"/>
    <w:rsid w:val="6F793947"/>
    <w:rsid w:val="6FC83DE4"/>
    <w:rsid w:val="6FD9651F"/>
    <w:rsid w:val="6FDB7D0C"/>
    <w:rsid w:val="6FDC23B5"/>
    <w:rsid w:val="705D0EFE"/>
    <w:rsid w:val="7060279C"/>
    <w:rsid w:val="706B3710"/>
    <w:rsid w:val="706B4417"/>
    <w:rsid w:val="70784F6A"/>
    <w:rsid w:val="70AD066D"/>
    <w:rsid w:val="70B2470E"/>
    <w:rsid w:val="70B46822"/>
    <w:rsid w:val="70D77260"/>
    <w:rsid w:val="70E17439"/>
    <w:rsid w:val="70EC5DDE"/>
    <w:rsid w:val="710377E1"/>
    <w:rsid w:val="711F61B4"/>
    <w:rsid w:val="713117D3"/>
    <w:rsid w:val="713F23B2"/>
    <w:rsid w:val="715F2A54"/>
    <w:rsid w:val="716B764B"/>
    <w:rsid w:val="71817101"/>
    <w:rsid w:val="71943263"/>
    <w:rsid w:val="71A10531"/>
    <w:rsid w:val="71B80224"/>
    <w:rsid w:val="71CF7BDA"/>
    <w:rsid w:val="71DE09E8"/>
    <w:rsid w:val="720B21A0"/>
    <w:rsid w:val="72231CD3"/>
    <w:rsid w:val="72404633"/>
    <w:rsid w:val="72414B2C"/>
    <w:rsid w:val="725956F5"/>
    <w:rsid w:val="72771820"/>
    <w:rsid w:val="72775B5D"/>
    <w:rsid w:val="72CC6418"/>
    <w:rsid w:val="72E163D5"/>
    <w:rsid w:val="73010267"/>
    <w:rsid w:val="730651BF"/>
    <w:rsid w:val="732C1100"/>
    <w:rsid w:val="73400A3E"/>
    <w:rsid w:val="734D2E7F"/>
    <w:rsid w:val="735D7E91"/>
    <w:rsid w:val="737A5923"/>
    <w:rsid w:val="7395275D"/>
    <w:rsid w:val="73CF6471"/>
    <w:rsid w:val="73F118A1"/>
    <w:rsid w:val="74024296"/>
    <w:rsid w:val="748A428C"/>
    <w:rsid w:val="74956EB9"/>
    <w:rsid w:val="7496678D"/>
    <w:rsid w:val="749E5641"/>
    <w:rsid w:val="74EE7509"/>
    <w:rsid w:val="75143EEA"/>
    <w:rsid w:val="751540E3"/>
    <w:rsid w:val="75157FF9"/>
    <w:rsid w:val="757762DF"/>
    <w:rsid w:val="75D91027"/>
    <w:rsid w:val="75E17719"/>
    <w:rsid w:val="76085468"/>
    <w:rsid w:val="76183CDA"/>
    <w:rsid w:val="764861AD"/>
    <w:rsid w:val="764C0E19"/>
    <w:rsid w:val="76570D9E"/>
    <w:rsid w:val="765A1D4D"/>
    <w:rsid w:val="766308F1"/>
    <w:rsid w:val="76B55A6D"/>
    <w:rsid w:val="772B58B2"/>
    <w:rsid w:val="772F009D"/>
    <w:rsid w:val="777E3905"/>
    <w:rsid w:val="777F6544"/>
    <w:rsid w:val="77813724"/>
    <w:rsid w:val="77822AD2"/>
    <w:rsid w:val="779A33A8"/>
    <w:rsid w:val="78263FA6"/>
    <w:rsid w:val="783E7867"/>
    <w:rsid w:val="7846297D"/>
    <w:rsid w:val="7859644F"/>
    <w:rsid w:val="78941235"/>
    <w:rsid w:val="78B13B95"/>
    <w:rsid w:val="78E40FA3"/>
    <w:rsid w:val="791E0B39"/>
    <w:rsid w:val="793B7903"/>
    <w:rsid w:val="79442C5B"/>
    <w:rsid w:val="79487052"/>
    <w:rsid w:val="79586707"/>
    <w:rsid w:val="79941F77"/>
    <w:rsid w:val="79BE0C60"/>
    <w:rsid w:val="79C218C0"/>
    <w:rsid w:val="79E06FD9"/>
    <w:rsid w:val="79F006ED"/>
    <w:rsid w:val="79F53437"/>
    <w:rsid w:val="7A052A13"/>
    <w:rsid w:val="7A144B1A"/>
    <w:rsid w:val="7A2B3BCE"/>
    <w:rsid w:val="7A7430CC"/>
    <w:rsid w:val="7A80169B"/>
    <w:rsid w:val="7AAE735F"/>
    <w:rsid w:val="7AC1208A"/>
    <w:rsid w:val="7AC3206E"/>
    <w:rsid w:val="7AC51215"/>
    <w:rsid w:val="7AE446F6"/>
    <w:rsid w:val="7AFF6ACD"/>
    <w:rsid w:val="7B0326A2"/>
    <w:rsid w:val="7B0F54EB"/>
    <w:rsid w:val="7B436E21"/>
    <w:rsid w:val="7B54666E"/>
    <w:rsid w:val="7B5B0429"/>
    <w:rsid w:val="7B615E02"/>
    <w:rsid w:val="7B6B795B"/>
    <w:rsid w:val="7BBC6B0F"/>
    <w:rsid w:val="7BEC1388"/>
    <w:rsid w:val="7BF00E78"/>
    <w:rsid w:val="7BF1357F"/>
    <w:rsid w:val="7C4A2065"/>
    <w:rsid w:val="7C796F1F"/>
    <w:rsid w:val="7C855349"/>
    <w:rsid w:val="7CAA6238"/>
    <w:rsid w:val="7CFE65CC"/>
    <w:rsid w:val="7D085F7C"/>
    <w:rsid w:val="7D0C3A90"/>
    <w:rsid w:val="7D2D6627"/>
    <w:rsid w:val="7D404FB3"/>
    <w:rsid w:val="7D4A7FD6"/>
    <w:rsid w:val="7D8C349D"/>
    <w:rsid w:val="7D8C697F"/>
    <w:rsid w:val="7DA02855"/>
    <w:rsid w:val="7DC73E5B"/>
    <w:rsid w:val="7DC73F51"/>
    <w:rsid w:val="7DE70059"/>
    <w:rsid w:val="7DF32EA2"/>
    <w:rsid w:val="7E0B1DFF"/>
    <w:rsid w:val="7E134C71"/>
    <w:rsid w:val="7E2352CD"/>
    <w:rsid w:val="7E2A3C98"/>
    <w:rsid w:val="7E5043EB"/>
    <w:rsid w:val="7E604231"/>
    <w:rsid w:val="7E916D6E"/>
    <w:rsid w:val="7EA61CC2"/>
    <w:rsid w:val="7EB34E00"/>
    <w:rsid w:val="7ECB34D7"/>
    <w:rsid w:val="7EE23E9C"/>
    <w:rsid w:val="7EF2571C"/>
    <w:rsid w:val="7F107F87"/>
    <w:rsid w:val="7F210F90"/>
    <w:rsid w:val="7F3405C5"/>
    <w:rsid w:val="7F361298"/>
    <w:rsid w:val="7F837A13"/>
    <w:rsid w:val="7F9F2560"/>
    <w:rsid w:val="7FA24979"/>
    <w:rsid w:val="7FC40652"/>
    <w:rsid w:val="7FEF15D8"/>
    <w:rsid w:val="7FF607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2">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spacing w:line="240" w:lineRule="auto"/>
      <w:ind w:firstLine="0" w:firstLineChars="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Quote"/>
    <w:basedOn w:val="1"/>
    <w:next w:val="1"/>
    <w:unhideWhenUsed/>
    <w:qFormat/>
    <w:uiPriority w:val="99"/>
    <w:pPr>
      <w:ind w:left="864" w:right="864"/>
      <w:jc w:val="center"/>
    </w:pPr>
    <w:rPr>
      <w:rFonts w:ascii="Times New Roman" w:hAnsi="Times New Roman"/>
      <w:i/>
      <w:iCs/>
      <w:color w:val="404040"/>
      <w:szCs w:val="21"/>
    </w:r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8"/>
    <w:qFormat/>
    <w:uiPriority w:val="99"/>
    <w:pPr>
      <w:ind w:firstLine="420" w:firstLineChars="100"/>
    </w:p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5077</Words>
  <Characters>5487</Characters>
  <Lines>1</Lines>
  <Paragraphs>1</Paragraphs>
  <TotalTime>4</TotalTime>
  <ScaleCrop>false</ScaleCrop>
  <LinksUpToDate>false</LinksUpToDate>
  <CharactersWithSpaces>5653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2025-07-29T09:12:00Z</cp:lastPrinted>
  <dcterms:modified xsi:type="dcterms:W3CDTF">2025-08-17T08:28:00Z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10A896A0849B41739C6BC1D12CCD5799_13</vt:lpwstr>
  </property>
  <property fmtid="{D5CDD505-2E9C-101B-9397-08002B2CF9AE}" pid="4" name="KSOTemplateDocerSaveRecord">
    <vt:lpwstr>eyJoZGlkIjoiN2YzNjBkOTgyNWQ1YTMxYzM3MzMwNWFiODNmOWIzYWMiLCJ1c2VySWQiOiI0MDU4NDYwODgifQ==</vt:lpwstr>
  </property>
</Properties>
</file>